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EC4" w:rsidRDefault="00BC6A28">
      <w:pPr>
        <w:pStyle w:val="af7"/>
        <w:tabs>
          <w:tab w:val="clear" w:pos="4536"/>
          <w:tab w:val="clear" w:pos="9072"/>
          <w:tab w:val="right" w:pos="9282"/>
          <w:tab w:val="right" w:pos="9492"/>
        </w:tabs>
        <w:spacing w:beforeLines="0" w:before="0" w:afterLines="0" w:after="0"/>
        <w:rPr>
          <w:rFonts w:eastAsia="宋体" w:cs="Arial"/>
          <w:sz w:val="22"/>
          <w:szCs w:val="22"/>
          <w:lang w:eastAsia="zh-CN"/>
        </w:rPr>
      </w:pPr>
      <w:bookmarkStart w:id="0" w:name="_GoBack"/>
      <w:bookmarkEnd w:id="0"/>
      <w:r>
        <w:rPr>
          <w:rFonts w:cs="Arial"/>
          <w:sz w:val="22"/>
          <w:szCs w:val="22"/>
        </w:rPr>
        <w:t>3GPP TSG RAN WG1 Meeting #1</w:t>
      </w:r>
      <w:r>
        <w:rPr>
          <w:rFonts w:eastAsia="宋体" w:cs="Arial"/>
          <w:sz w:val="22"/>
          <w:szCs w:val="22"/>
          <w:lang w:eastAsia="zh-CN"/>
        </w:rPr>
        <w:t>18</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2406041</w:t>
      </w:r>
    </w:p>
    <w:p w:rsidR="00166EC4" w:rsidRDefault="00BC6A28">
      <w:pPr>
        <w:spacing w:before="108" w:after="108"/>
        <w:rPr>
          <w:rFonts w:ascii="Arial" w:hAnsi="Arial" w:cs="Arial"/>
          <w:b/>
          <w:sz w:val="22"/>
        </w:rPr>
      </w:pPr>
      <w:r>
        <w:rPr>
          <w:rFonts w:ascii="Arial" w:hAnsi="Arial" w:cs="Arial"/>
          <w:b/>
          <w:sz w:val="22"/>
        </w:rPr>
        <w:t xml:space="preserve">Maastricht, </w:t>
      </w:r>
      <w:r>
        <w:rPr>
          <w:rFonts w:ascii="Arial" w:hAnsi="Arial" w:cs="Arial" w:hint="eastAsia"/>
          <w:b/>
          <w:sz w:val="22"/>
        </w:rPr>
        <w:t>NL</w:t>
      </w:r>
      <w:r>
        <w:rPr>
          <w:rFonts w:ascii="Arial" w:hAnsi="Arial" w:cs="Arial"/>
          <w:b/>
          <w:sz w:val="22"/>
        </w:rPr>
        <w:t>,</w:t>
      </w:r>
      <w:r>
        <w:rPr>
          <w:rFonts w:ascii="Arial" w:hAnsi="Arial" w:cs="Arial"/>
          <w:b/>
          <w:sz w:val="22"/>
          <w:lang w:eastAsia="ja-JP"/>
        </w:rPr>
        <w:t xml:space="preserve"> </w:t>
      </w:r>
      <w:r>
        <w:rPr>
          <w:rFonts w:ascii="Arial" w:hAnsi="Arial" w:cs="Arial"/>
          <w:b/>
          <w:sz w:val="22"/>
        </w:rPr>
        <w:t>August 19</w:t>
      </w:r>
      <w:r>
        <w:rPr>
          <w:rFonts w:ascii="Arial" w:hAnsi="Arial" w:cs="Arial"/>
          <w:b/>
          <w:sz w:val="22"/>
          <w:vertAlign w:val="superscript"/>
        </w:rPr>
        <w:t>th</w:t>
      </w:r>
      <w:r>
        <w:rPr>
          <w:rFonts w:ascii="Arial" w:eastAsia="MS Mincho" w:hAnsi="Arial" w:cs="Arial"/>
          <w:b/>
          <w:sz w:val="22"/>
          <w:lang w:eastAsia="ja-JP"/>
        </w:rPr>
        <w:t xml:space="preserve"> –</w:t>
      </w:r>
      <w:r>
        <w:rPr>
          <w:rFonts w:ascii="Arial" w:eastAsia="MS Mincho" w:hAnsi="Arial" w:cs="Arial"/>
          <w:b/>
          <w:sz w:val="22"/>
          <w:lang w:eastAsia="en-US"/>
        </w:rPr>
        <w:t xml:space="preserve"> 2</w:t>
      </w:r>
      <w:r>
        <w:rPr>
          <w:rFonts w:ascii="Arial" w:hAnsi="Arial" w:cs="Arial"/>
          <w:b/>
          <w:sz w:val="22"/>
        </w:rPr>
        <w:t>3</w:t>
      </w:r>
      <w:r>
        <w:rPr>
          <w:rFonts w:ascii="Arial" w:hAnsi="Arial" w:cs="Arial"/>
          <w:b/>
          <w:sz w:val="22"/>
          <w:vertAlign w:val="superscript"/>
        </w:rPr>
        <w:t>rd</w:t>
      </w:r>
      <w:r>
        <w:rPr>
          <w:rFonts w:ascii="Arial" w:eastAsia="MS Mincho" w:hAnsi="Arial" w:cs="Arial"/>
          <w:b/>
          <w:sz w:val="22"/>
          <w:lang w:eastAsia="ja-JP"/>
        </w:rPr>
        <w:t>, 20</w:t>
      </w:r>
      <w:r>
        <w:rPr>
          <w:rFonts w:ascii="Arial" w:hAnsi="Arial" w:cs="Arial"/>
          <w:b/>
          <w:sz w:val="22"/>
        </w:rPr>
        <w:t>24</w:t>
      </w:r>
    </w:p>
    <w:p w:rsidR="00166EC4" w:rsidRDefault="00166EC4">
      <w:pPr>
        <w:pStyle w:val="af7"/>
        <w:tabs>
          <w:tab w:val="clear" w:pos="4536"/>
          <w:tab w:val="left" w:pos="1805"/>
        </w:tabs>
        <w:spacing w:beforeLines="0" w:before="0" w:afterLines="0" w:after="0"/>
        <w:ind w:left="1803" w:hanging="1803"/>
        <w:rPr>
          <w:rFonts w:cs="Arial"/>
          <w:sz w:val="22"/>
          <w:szCs w:val="22"/>
          <w:lang w:eastAsia="zh-CN"/>
        </w:rPr>
      </w:pPr>
    </w:p>
    <w:p w:rsidR="00166EC4" w:rsidRDefault="00BC6A28">
      <w:pPr>
        <w:pStyle w:val="af7"/>
        <w:tabs>
          <w:tab w:val="clear" w:pos="4536"/>
          <w:tab w:val="left" w:pos="1805"/>
        </w:tabs>
        <w:spacing w:beforeLines="0" w:before="0" w:afterLines="0" w:after="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 Corporation, Sanechips</w:t>
      </w:r>
    </w:p>
    <w:p w:rsidR="00166EC4" w:rsidRDefault="00BC6A28">
      <w:pPr>
        <w:pStyle w:val="af7"/>
        <w:tabs>
          <w:tab w:val="left" w:pos="1800"/>
        </w:tabs>
        <w:spacing w:beforeLines="0" w:before="0" w:afterLines="0" w:after="0"/>
        <w:ind w:left="1840" w:hangingChars="833" w:hanging="1840"/>
        <w:rPr>
          <w:rFonts w:eastAsia="宋体" w:cs="Arial"/>
          <w:sz w:val="22"/>
          <w:szCs w:val="22"/>
          <w:lang w:eastAsia="zh-CN"/>
        </w:rPr>
      </w:pPr>
      <w:r>
        <w:rPr>
          <w:rFonts w:cs="Arial"/>
          <w:sz w:val="22"/>
          <w:szCs w:val="22"/>
          <w:lang w:eastAsia="zh-CN"/>
        </w:rPr>
        <w:t>Title:</w:t>
      </w:r>
      <w:r>
        <w:rPr>
          <w:rFonts w:eastAsia="宋体" w:cs="Arial"/>
          <w:bCs/>
          <w:sz w:val="22"/>
          <w:szCs w:val="22"/>
          <w:lang w:eastAsia="zh-CN"/>
        </w:rPr>
        <w:tab/>
        <w:t>Discussion on SRS transmission for NCB PUSCH in STxMP SDM/SFN scheme in TS 38.211</w:t>
      </w:r>
    </w:p>
    <w:p w:rsidR="00166EC4" w:rsidRDefault="00BC6A28">
      <w:pPr>
        <w:pStyle w:val="af7"/>
        <w:tabs>
          <w:tab w:val="left" w:pos="1800"/>
        </w:tabs>
        <w:spacing w:beforeLines="0" w:before="0" w:afterLines="0" w:after="0"/>
        <w:rPr>
          <w:rFonts w:eastAsia="宋体" w:cs="Arial"/>
          <w:bCs/>
          <w:sz w:val="22"/>
          <w:szCs w:val="22"/>
          <w:lang w:eastAsia="zh-CN"/>
        </w:rPr>
      </w:pPr>
      <w:r>
        <w:rPr>
          <w:rFonts w:cs="Arial"/>
          <w:sz w:val="22"/>
          <w:szCs w:val="22"/>
          <w:lang w:eastAsia="zh-CN"/>
        </w:rPr>
        <w:t>Agenda Item:</w:t>
      </w:r>
      <w:bookmarkStart w:id="1" w:name="Source"/>
      <w:bookmarkEnd w:id="1"/>
      <w:r>
        <w:rPr>
          <w:rFonts w:eastAsia="宋体" w:cs="Arial"/>
          <w:bCs/>
          <w:sz w:val="22"/>
          <w:szCs w:val="22"/>
          <w:lang w:eastAsia="zh-CN"/>
        </w:rPr>
        <w:tab/>
        <w:t>8.1</w:t>
      </w:r>
    </w:p>
    <w:p w:rsidR="00166EC4" w:rsidRDefault="00BC6A28">
      <w:pPr>
        <w:pBdr>
          <w:bottom w:val="single" w:sz="6" w:space="1" w:color="auto"/>
        </w:pBdr>
        <w:spacing w:before="108" w:after="108" w:line="264" w:lineRule="auto"/>
        <w:ind w:left="1803" w:hanging="1803"/>
        <w:rPr>
          <w:rFonts w:ascii="Arial" w:hAnsi="Arial" w:cs="Arial"/>
          <w:b/>
          <w:sz w:val="22"/>
          <w:lang w:eastAsia="ja-JP"/>
        </w:rPr>
      </w:pPr>
      <w:r>
        <w:rPr>
          <w:rFonts w:ascii="Arial" w:eastAsia="MS Mincho" w:hAnsi="Arial" w:cs="Arial"/>
          <w:b/>
          <w:sz w:val="22"/>
          <w:lang w:eastAsia="en-US"/>
        </w:rPr>
        <w:t>Document for:</w:t>
      </w:r>
      <w:r>
        <w:rPr>
          <w:rFonts w:ascii="Arial" w:hAnsi="Arial" w:cs="Arial"/>
          <w:b/>
          <w:sz w:val="22"/>
          <w:lang w:eastAsia="ja-JP"/>
        </w:rPr>
        <w:tab/>
      </w:r>
      <w:r>
        <w:rPr>
          <w:rFonts w:ascii="Arial" w:eastAsia="MS Mincho" w:hAnsi="Arial" w:cs="Arial"/>
          <w:b/>
          <w:sz w:val="22"/>
          <w:lang w:eastAsia="ja-JP"/>
        </w:rPr>
        <w:t xml:space="preserve">Discussion and </w:t>
      </w:r>
      <w:r>
        <w:rPr>
          <w:rFonts w:ascii="Arial" w:eastAsia="MS Mincho" w:hAnsi="Arial" w:cs="Arial"/>
          <w:b/>
          <w:sz w:val="22"/>
          <w:lang w:eastAsia="ja-JP"/>
        </w:rPr>
        <w:t>Decision</w:t>
      </w:r>
    </w:p>
    <w:p w:rsidR="00166EC4" w:rsidRDefault="00BC6A28">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rsidR="00166EC4" w:rsidRDefault="00BC6A28">
      <w:pPr>
        <w:spacing w:before="108" w:after="108"/>
        <w:rPr>
          <w:sz w:val="20"/>
          <w:szCs w:val="20"/>
        </w:rPr>
      </w:pPr>
      <w:r>
        <w:rPr>
          <w:sz w:val="20"/>
          <w:szCs w:val="20"/>
        </w:rPr>
        <w:t xml:space="preserve">In this contribution, we present our views on the issue of </w:t>
      </w:r>
      <w:r>
        <w:rPr>
          <w:rFonts w:hint="eastAsia"/>
          <w:sz w:val="20"/>
          <w:szCs w:val="20"/>
        </w:rPr>
        <w:t xml:space="preserve">simultaneous transmitted SRS resources in one symbol </w:t>
      </w:r>
      <w:r>
        <w:rPr>
          <w:sz w:val="20"/>
          <w:szCs w:val="20"/>
        </w:rPr>
        <w:t>for NCB PUSCH in S</w:t>
      </w:r>
      <w:r>
        <w:rPr>
          <w:rFonts w:hint="eastAsia"/>
          <w:sz w:val="20"/>
          <w:szCs w:val="20"/>
        </w:rPr>
        <w:t>Tx</w:t>
      </w:r>
      <w:r>
        <w:rPr>
          <w:sz w:val="20"/>
          <w:szCs w:val="20"/>
        </w:rPr>
        <w:t>MP SDM/SFN scheme.</w:t>
      </w:r>
    </w:p>
    <w:p w:rsidR="00166EC4" w:rsidRDefault="00BC6A28">
      <w:pPr>
        <w:pStyle w:val="1"/>
        <w:keepNext/>
        <w:tabs>
          <w:tab w:val="left" w:pos="3686"/>
          <w:tab w:val="left" w:pos="4536"/>
        </w:tabs>
        <w:spacing w:beforeLines="100" w:before="360" w:after="108" w:line="240" w:lineRule="auto"/>
        <w:textAlignment w:val="baseline"/>
        <w:rPr>
          <w:lang w:val="en-US"/>
        </w:rPr>
      </w:pPr>
      <w:r>
        <w:rPr>
          <w:szCs w:val="20"/>
          <w:lang w:val="en-US"/>
        </w:rPr>
        <w:t>Discussion</w:t>
      </w:r>
    </w:p>
    <w:p w:rsidR="00166EC4" w:rsidRDefault="00BC6A28">
      <w:pPr>
        <w:spacing w:beforeLines="50" w:before="180" w:afterLines="50" w:after="180"/>
        <w:rPr>
          <w:sz w:val="20"/>
          <w:szCs w:val="20"/>
        </w:rPr>
      </w:pPr>
      <w:r>
        <w:rPr>
          <w:sz w:val="20"/>
          <w:szCs w:val="20"/>
        </w:rPr>
        <w:t xml:space="preserve">According to the </w:t>
      </w:r>
      <w:r>
        <w:rPr>
          <w:rFonts w:hint="eastAsia"/>
          <w:sz w:val="20"/>
          <w:szCs w:val="20"/>
        </w:rPr>
        <w:t>following excerpt in TS 38.213, the maximum number of s</w:t>
      </w:r>
      <w:r>
        <w:rPr>
          <w:rFonts w:hint="eastAsia"/>
          <w:sz w:val="20"/>
          <w:szCs w:val="20"/>
        </w:rPr>
        <w:t xml:space="preserve">imultaneous transmitted SRS resources in one symbol just capture the case from one single SRS resource set [1]. </w:t>
      </w:r>
    </w:p>
    <w:p w:rsidR="00166EC4" w:rsidRDefault="00BC6A28">
      <w:pPr>
        <w:spacing w:beforeLines="50" w:before="180" w:afterLines="50" w:after="180"/>
        <w:rPr>
          <w:b/>
          <w:bCs/>
          <w:sz w:val="20"/>
          <w:szCs w:val="20"/>
        </w:rPr>
      </w:pPr>
      <w:r>
        <w:rPr>
          <w:rFonts w:hint="eastAsia"/>
          <w:b/>
          <w:bCs/>
          <w:sz w:val="20"/>
          <w:szCs w:val="20"/>
        </w:rPr>
        <w:t>TS 38.213-i30</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66EC4">
        <w:tc>
          <w:tcPr>
            <w:tcW w:w="9576" w:type="dxa"/>
          </w:tcPr>
          <w:p w:rsidR="00166EC4" w:rsidRDefault="00BC6A28">
            <w:pPr>
              <w:keepNext/>
              <w:keepLines/>
              <w:spacing w:before="108" w:after="108"/>
              <w:ind w:left="1418" w:hanging="1418"/>
              <w:outlineLvl w:val="3"/>
              <w:rPr>
                <w:rFonts w:ascii="Arial" w:hAnsi="Arial"/>
                <w:color w:val="000000"/>
              </w:rPr>
            </w:pPr>
            <w:bookmarkStart w:id="2" w:name="_Toc29674336"/>
            <w:bookmarkStart w:id="3" w:name="_Toc11352141"/>
            <w:bookmarkStart w:id="4" w:name="_Toc162184954"/>
            <w:bookmarkStart w:id="5" w:name="_Toc45810611"/>
            <w:bookmarkStart w:id="6" w:name="_Toc29673202"/>
            <w:bookmarkStart w:id="7" w:name="_Toc27299929"/>
            <w:bookmarkStart w:id="8" w:name="_Toc20318031"/>
            <w:bookmarkStart w:id="9" w:name="_Toc29673343"/>
            <w:bookmarkStart w:id="10" w:name="_Toc36645566"/>
            <w:r>
              <w:rPr>
                <w:rFonts w:ascii="Arial" w:hAnsi="Arial"/>
                <w:color w:val="000000"/>
              </w:rPr>
              <w:lastRenderedPageBreak/>
              <w:t>6.1.1.2</w:t>
            </w:r>
            <w:r>
              <w:rPr>
                <w:rFonts w:ascii="Arial" w:hAnsi="Arial"/>
                <w:color w:val="000000"/>
              </w:rPr>
              <w:tab/>
              <w:t>Non-Codebook based UL transmission</w:t>
            </w:r>
            <w:bookmarkEnd w:id="2"/>
            <w:bookmarkEnd w:id="3"/>
            <w:bookmarkEnd w:id="4"/>
            <w:bookmarkEnd w:id="5"/>
            <w:bookmarkEnd w:id="6"/>
            <w:bookmarkEnd w:id="7"/>
            <w:bookmarkEnd w:id="8"/>
            <w:bookmarkEnd w:id="9"/>
            <w:bookmarkEnd w:id="10"/>
          </w:p>
          <w:p w:rsidR="00166EC4" w:rsidRDefault="00BC6A28">
            <w:pPr>
              <w:spacing w:before="108" w:after="108" w:line="240" w:lineRule="auto"/>
              <w:rPr>
                <w:color w:val="000000"/>
                <w:sz w:val="20"/>
                <w:szCs w:val="20"/>
              </w:rPr>
            </w:pPr>
            <w:r>
              <w:rPr>
                <w:color w:val="000000"/>
                <w:sz w:val="20"/>
                <w:szCs w:val="20"/>
              </w:rPr>
              <w:t>For non-codebook based transmission, PUSCH can be scheduled by DCI format 0_0, DCI format 0_1, DCI format 0_2, DCI format 0_3 or semi-statically configured to operate according to Clause 6.1.2.3. If this PUSCH is scheduled by DCI format 0_1, DCI format 0_2</w:t>
            </w:r>
            <w:r>
              <w:rPr>
                <w:color w:val="000000"/>
                <w:sz w:val="20"/>
                <w:szCs w:val="20"/>
              </w:rPr>
              <w:t xml:space="preserve">, DCI format 0_3 or semi-statically configured to operate according to Clause 6.1.2.3, the UE can determine its PUSCH precoder(s) and transmission rank based on the SRI(s) when multiple SRS resources are configured, where the SRI(s) is given by one or two </w:t>
            </w:r>
            <w:r>
              <w:rPr>
                <w:color w:val="000000"/>
                <w:sz w:val="20"/>
                <w:szCs w:val="20"/>
              </w:rPr>
              <w:t xml:space="preserve">SRS resource indicator(s) in DCI according to clause 7.3.1.1.2 and 7.3.1.1.3 of [5, 38.212] for DCI format 0_1 and DCI format 0_2, or the SRI is given by one SRS resource indicator in DCI according to clause 7.3.1.1.4 of [5, 38.212] for DCI format 0_3, or </w:t>
            </w:r>
            <w:r>
              <w:rPr>
                <w:color w:val="000000"/>
                <w:sz w:val="20"/>
                <w:szCs w:val="20"/>
              </w:rPr>
              <w:t xml:space="preserve">the SRI is given by </w:t>
            </w:r>
            <w:proofErr w:type="spellStart"/>
            <w:r>
              <w:rPr>
                <w:i/>
                <w:color w:val="000000"/>
                <w:sz w:val="20"/>
                <w:szCs w:val="20"/>
              </w:rPr>
              <w:t>srs-ResourceIndicator</w:t>
            </w:r>
            <w:proofErr w:type="spellEnd"/>
            <w:r>
              <w:rPr>
                <w:color w:val="000000"/>
                <w:sz w:val="20"/>
                <w:szCs w:val="20"/>
              </w:rPr>
              <w:t xml:space="preserve"> according to clause 6.1.2.3, or SRIs given by </w:t>
            </w:r>
            <w:proofErr w:type="spellStart"/>
            <w:r>
              <w:rPr>
                <w:i/>
                <w:color w:val="000000"/>
                <w:sz w:val="20"/>
                <w:szCs w:val="20"/>
              </w:rPr>
              <w:t>srs-ResourceIndicator</w:t>
            </w:r>
            <w:proofErr w:type="spellEnd"/>
            <w:r>
              <w:rPr>
                <w:iCs/>
                <w:color w:val="000000"/>
                <w:sz w:val="20"/>
                <w:szCs w:val="20"/>
              </w:rPr>
              <w:t xml:space="preserve"> and </w:t>
            </w:r>
            <w:r>
              <w:rPr>
                <w:i/>
                <w:color w:val="000000"/>
                <w:sz w:val="20"/>
                <w:szCs w:val="20"/>
              </w:rPr>
              <w:t>srs-ResourceIndicator2</w:t>
            </w:r>
            <w:r>
              <w:rPr>
                <w:color w:val="000000"/>
                <w:sz w:val="20"/>
                <w:szCs w:val="20"/>
              </w:rPr>
              <w:t xml:space="preserve"> according to clause 6.1.2.3.. The </w:t>
            </w:r>
            <w:r>
              <w:rPr>
                <w:i/>
                <w:color w:val="000000"/>
                <w:sz w:val="20"/>
                <w:szCs w:val="20"/>
              </w:rPr>
              <w:t>SRS-</w:t>
            </w:r>
            <w:proofErr w:type="spellStart"/>
            <w:r>
              <w:rPr>
                <w:i/>
                <w:color w:val="000000"/>
                <w:sz w:val="20"/>
                <w:szCs w:val="20"/>
              </w:rPr>
              <w:t>ResourceSet</w:t>
            </w:r>
            <w:proofErr w:type="spellEnd"/>
            <w:r>
              <w:rPr>
                <w:i/>
                <w:color w:val="000000"/>
                <w:sz w:val="20"/>
                <w:szCs w:val="20"/>
              </w:rPr>
              <w:t>(s)</w:t>
            </w:r>
            <w:r>
              <w:rPr>
                <w:color w:val="000000"/>
                <w:sz w:val="20"/>
                <w:szCs w:val="20"/>
              </w:rPr>
              <w:t xml:space="preserve"> applicable for PUSCH scheduled by DCI format 0_1 and DCI format 0_2 are defined by the entries of the higher layer parameter </w:t>
            </w:r>
            <w:proofErr w:type="spellStart"/>
            <w:r>
              <w:rPr>
                <w:i/>
                <w:color w:val="000000"/>
                <w:sz w:val="20"/>
                <w:szCs w:val="20"/>
              </w:rPr>
              <w:t>srs-ResourceSetToAddModList</w:t>
            </w:r>
            <w:proofErr w:type="spellEnd"/>
            <w:r>
              <w:rPr>
                <w:color w:val="000000"/>
                <w:sz w:val="20"/>
                <w:szCs w:val="20"/>
              </w:rPr>
              <w:t xml:space="preserve"> and </w:t>
            </w:r>
            <w:r>
              <w:rPr>
                <w:i/>
                <w:color w:val="000000"/>
                <w:sz w:val="20"/>
                <w:szCs w:val="20"/>
              </w:rPr>
              <w:t>srs-ResourceSetToAddModListDCI-0-2</w:t>
            </w:r>
            <w:r>
              <w:rPr>
                <w:color w:val="000000"/>
                <w:sz w:val="20"/>
                <w:szCs w:val="20"/>
              </w:rPr>
              <w:t xml:space="preserve"> in </w:t>
            </w:r>
            <w:r>
              <w:rPr>
                <w:i/>
                <w:color w:val="000000"/>
                <w:sz w:val="20"/>
                <w:szCs w:val="20"/>
              </w:rPr>
              <w:t>SRS-config</w:t>
            </w:r>
            <w:r>
              <w:rPr>
                <w:color w:val="000000"/>
                <w:sz w:val="20"/>
                <w:szCs w:val="20"/>
              </w:rPr>
              <w:t xml:space="preserve">, respectively. </w:t>
            </w:r>
            <w:r>
              <w:rPr>
                <w:color w:val="000000"/>
                <w:sz w:val="20"/>
                <w:szCs w:val="20"/>
                <w:highlight w:val="yellow"/>
              </w:rPr>
              <w:t>The UE shall use one or multiple S</w:t>
            </w:r>
            <w:r>
              <w:rPr>
                <w:color w:val="000000"/>
                <w:sz w:val="20"/>
                <w:szCs w:val="20"/>
                <w:highlight w:val="yellow"/>
              </w:rPr>
              <w:t xml:space="preserve">RS resources for SRS transmission, where, in </w:t>
            </w:r>
            <w:proofErr w:type="gramStart"/>
            <w:r>
              <w:rPr>
                <w:color w:val="000000"/>
                <w:sz w:val="20"/>
                <w:szCs w:val="20"/>
                <w:highlight w:val="yellow"/>
              </w:rPr>
              <w:t>a</w:t>
            </w:r>
            <w:proofErr w:type="gramEnd"/>
            <w:r>
              <w:rPr>
                <w:color w:val="000000"/>
                <w:sz w:val="20"/>
                <w:szCs w:val="20"/>
                <w:highlight w:val="yellow"/>
              </w:rPr>
              <w:t xml:space="preserve"> SRS resource set, the maximum number of SRS resources which can be configured to the UE for simultaneous transmission in the same symbol and the maximum number of SRS resources are UE capabilities.</w:t>
            </w:r>
            <w:r>
              <w:rPr>
                <w:color w:val="000000"/>
                <w:sz w:val="20"/>
                <w:szCs w:val="20"/>
              </w:rPr>
              <w:t xml:space="preserve"> </w:t>
            </w:r>
            <w:r>
              <w:rPr>
                <w:rFonts w:eastAsia="MS Mincho"/>
                <w:color w:val="000000"/>
                <w:sz w:val="20"/>
                <w:szCs w:val="20"/>
              </w:rPr>
              <w:t>The SRS res</w:t>
            </w:r>
            <w:r>
              <w:rPr>
                <w:rFonts w:eastAsia="MS Mincho"/>
                <w:color w:val="000000"/>
                <w:sz w:val="20"/>
                <w:szCs w:val="20"/>
              </w:rPr>
              <w:t xml:space="preserve">ources transmitted simultaneously occupy the same RBs. </w:t>
            </w:r>
            <w:r>
              <w:rPr>
                <w:iCs/>
                <w:sz w:val="20"/>
                <w:szCs w:val="20"/>
              </w:rPr>
              <w:t>For a given CC, multiple SRS resources in a set with usage “</w:t>
            </w:r>
            <w:proofErr w:type="spellStart"/>
            <w:r>
              <w:rPr>
                <w:iCs/>
                <w:sz w:val="20"/>
                <w:szCs w:val="20"/>
              </w:rPr>
              <w:t>nonCodebook</w:t>
            </w:r>
            <w:proofErr w:type="spellEnd"/>
            <w:r>
              <w:rPr>
                <w:iCs/>
                <w:sz w:val="20"/>
                <w:szCs w:val="20"/>
              </w:rPr>
              <w:t xml:space="preserve">” are not expected to be partially overlapped in time. </w:t>
            </w:r>
            <w:r>
              <w:rPr>
                <w:color w:val="000000"/>
                <w:sz w:val="20"/>
                <w:szCs w:val="20"/>
              </w:rPr>
              <w:t xml:space="preserve">Only one SRS port for each SRS resource is configured. Only one or two SRS </w:t>
            </w:r>
            <w:r>
              <w:rPr>
                <w:color w:val="000000"/>
                <w:sz w:val="20"/>
                <w:szCs w:val="20"/>
              </w:rPr>
              <w:t xml:space="preserve">resource sets can be configured in </w:t>
            </w:r>
            <w:proofErr w:type="spellStart"/>
            <w:r>
              <w:rPr>
                <w:i/>
                <w:color w:val="000000"/>
                <w:sz w:val="20"/>
                <w:szCs w:val="20"/>
              </w:rPr>
              <w:t>srs-ResourceSetToAddModList</w:t>
            </w:r>
            <w:proofErr w:type="spellEnd"/>
            <w:r>
              <w:rPr>
                <w:color w:val="000000"/>
                <w:sz w:val="20"/>
                <w:szCs w:val="20"/>
              </w:rPr>
              <w:t xml:space="preserve"> 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xml:space="preserve">', and only one or two SRS resource sets can be configured in </w:t>
            </w:r>
            <w:r>
              <w:rPr>
                <w:i/>
                <w:color w:val="000000"/>
                <w:sz w:val="20"/>
                <w:szCs w:val="20"/>
              </w:rPr>
              <w:t xml:space="preserve">srs-ResourceSetToAddModListDCI-0-2 </w:t>
            </w:r>
            <w:r>
              <w:rPr>
                <w:color w:val="000000"/>
                <w:sz w:val="20"/>
                <w:szCs w:val="20"/>
              </w:rPr>
              <w:t>with higher layer parame</w:t>
            </w:r>
            <w:r>
              <w:rPr>
                <w:color w:val="000000"/>
                <w:sz w:val="20"/>
                <w:szCs w:val="20"/>
              </w:rPr>
              <w:t xml:space="preserv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xml:space="preserve">'. 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SRIs are given by t</w:t>
            </w:r>
            <w:r>
              <w:rPr>
                <w:color w:val="000000"/>
                <w:sz w:val="20"/>
                <w:szCs w:val="20"/>
              </w:rPr>
              <w:t>he DCI fields of two SRS resource indicators in clauses 7.3.1.1.2 and 7.3.1.1.3 of [5, TS 38.212] for DCI format 0_1 and 0_2 and the UE applies the indicated SRI(s) to one or more PUSCH repetitions according to the associated SRS resource set of a PUSCH re</w:t>
            </w:r>
            <w:r>
              <w:rPr>
                <w:color w:val="000000"/>
                <w:sz w:val="20"/>
                <w:szCs w:val="20"/>
              </w:rPr>
              <w:t xml:space="preserve">petition according to clause 6.1.2.1. A UE does not expect two SRS resource sets are configured in </w:t>
            </w:r>
            <w:proofErr w:type="spellStart"/>
            <w:r>
              <w:rPr>
                <w:i/>
                <w:color w:val="000000"/>
                <w:sz w:val="20"/>
                <w:szCs w:val="20"/>
              </w:rPr>
              <w:t>srs-ResourceSetToAddModList</w:t>
            </w:r>
            <w:proofErr w:type="spellEnd"/>
            <w:r>
              <w:rPr>
                <w:color w:val="000000"/>
                <w:sz w:val="20"/>
                <w:szCs w:val="20"/>
              </w:rPr>
              <w:t xml:space="preserve"> 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for a serving cell, when the serving cell is included i</w:t>
            </w:r>
            <w:r>
              <w:rPr>
                <w:color w:val="000000"/>
                <w:sz w:val="20"/>
                <w:szCs w:val="20"/>
              </w:rPr>
              <w:t xml:space="preserve">n </w:t>
            </w:r>
            <w:r>
              <w:rPr>
                <w:i/>
                <w:iCs/>
                <w:color w:val="000000"/>
                <w:sz w:val="20"/>
                <w:szCs w:val="20"/>
              </w:rPr>
              <w:t>schedulingCellListDCI-0-3-r18</w:t>
            </w:r>
            <w:r>
              <w:rPr>
                <w:color w:val="000000"/>
                <w:sz w:val="20"/>
                <w:szCs w:val="20"/>
              </w:rPr>
              <w:t xml:space="preserve"> for a set of serving cells provided by </w:t>
            </w:r>
            <w:r>
              <w:rPr>
                <w:i/>
                <w:iCs/>
                <w:color w:val="000000"/>
                <w:sz w:val="20"/>
                <w:szCs w:val="20"/>
              </w:rPr>
              <w:t>mc-DCI-SetOfCellsToAddModList-r18</w:t>
            </w:r>
            <w:r>
              <w:rPr>
                <w:color w:val="000000"/>
                <w:sz w:val="20"/>
                <w:szCs w:val="20"/>
              </w:rPr>
              <w:t>. The maximum number of SRS resources per SRS resource set that can be configured for non-codebook based uplink transmission is 1, 2, 4 or 8 depending o</w:t>
            </w:r>
            <w:r>
              <w:rPr>
                <w:color w:val="000000"/>
                <w:sz w:val="20"/>
                <w:szCs w:val="20"/>
              </w:rPr>
              <w:t xml:space="preserve">n UE capability. Each of the indicated SRIs in slot </w:t>
            </w:r>
            <w:r>
              <w:rPr>
                <w:i/>
                <w:color w:val="000000"/>
                <w:sz w:val="20"/>
                <w:szCs w:val="20"/>
              </w:rPr>
              <w:t>n</w:t>
            </w:r>
            <w:r>
              <w:rPr>
                <w:color w:val="000000"/>
                <w:sz w:val="20"/>
                <w:szCs w:val="20"/>
              </w:rPr>
              <w:t xml:space="preserve"> is associated with the most recent transmission of SRS resource(s) of associated SRS resource set identified by the SRI, where the SRS transmission is prior to the PDCCH carrying the SRI. When two SRS r</w:t>
            </w:r>
            <w:r>
              <w:rPr>
                <w:color w:val="000000"/>
                <w:sz w:val="20"/>
                <w:szCs w:val="20"/>
              </w:rPr>
              <w:t xml:space="preserve">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the UE is not expected to be configured with different number of SRS resources in th</w:t>
            </w:r>
            <w:r>
              <w:rPr>
                <w:color w:val="000000"/>
                <w:sz w:val="20"/>
                <w:szCs w:val="20"/>
              </w:rPr>
              <w:t xml:space="preserve">e two SRS resource sets.  </w:t>
            </w:r>
          </w:p>
          <w:p w:rsidR="00166EC4" w:rsidRDefault="00BC6A28">
            <w:pPr>
              <w:spacing w:before="108" w:after="108"/>
              <w:jc w:val="center"/>
            </w:pPr>
            <w:r>
              <w:rPr>
                <w:rFonts w:ascii="Times" w:hAnsi="Times" w:hint="eastAsia"/>
                <w:color w:val="FF0000"/>
                <w:sz w:val="20"/>
                <w:szCs w:val="21"/>
              </w:rPr>
              <w:t xml:space="preserve">&lt;------------------------- </w:t>
            </w:r>
            <w:r>
              <w:rPr>
                <w:rFonts w:ascii="Times" w:hAnsi="Times" w:hint="eastAsia"/>
                <w:b/>
                <w:bCs/>
                <w:color w:val="FF0000"/>
                <w:sz w:val="20"/>
                <w:szCs w:val="21"/>
              </w:rPr>
              <w:t>Irrelevant parts are omitted</w:t>
            </w:r>
            <w:r>
              <w:rPr>
                <w:rFonts w:ascii="Times" w:hAnsi="Times" w:hint="eastAsia"/>
                <w:color w:val="FF0000"/>
                <w:sz w:val="20"/>
                <w:szCs w:val="21"/>
              </w:rPr>
              <w:t xml:space="preserve"> -------------------------&gt;</w:t>
            </w:r>
          </w:p>
        </w:tc>
      </w:tr>
    </w:tbl>
    <w:p w:rsidR="00166EC4" w:rsidRDefault="00BC6A28">
      <w:pPr>
        <w:spacing w:beforeLines="50" w:before="180" w:afterLines="50" w:after="180"/>
        <w:rPr>
          <w:sz w:val="20"/>
          <w:szCs w:val="20"/>
        </w:rPr>
      </w:pPr>
      <w:r>
        <w:rPr>
          <w:rFonts w:hint="eastAsia"/>
          <w:sz w:val="20"/>
          <w:szCs w:val="20"/>
        </w:rPr>
        <w:t>In the meanwhile, for non-codebook based</w:t>
      </w:r>
      <w:r>
        <w:rPr>
          <w:sz w:val="20"/>
          <w:szCs w:val="20"/>
        </w:rPr>
        <w:t xml:space="preserve"> PUSCH in STxMP SDM/SFN scheme</w:t>
      </w:r>
      <w:r>
        <w:rPr>
          <w:rFonts w:hint="eastAsia"/>
          <w:sz w:val="20"/>
          <w:szCs w:val="20"/>
        </w:rPr>
        <w:t xml:space="preserve">, it can be noticed that the UE can simultaneously transmit multiple SRS </w:t>
      </w:r>
      <w:r>
        <w:rPr>
          <w:rFonts w:hint="eastAsia"/>
          <w:sz w:val="20"/>
          <w:szCs w:val="20"/>
        </w:rPr>
        <w:t>resources from two SRS resource sets in one symbol, which depends on component-9 in FG 40-6-1a and component-9 in FG 40-6-2a</w:t>
      </w:r>
      <w:r>
        <w:rPr>
          <w:sz w:val="20"/>
          <w:szCs w:val="20"/>
        </w:rPr>
        <w:t xml:space="preserve"> for SDM/SFN, respectively,</w:t>
      </w:r>
      <w:r>
        <w:rPr>
          <w:rFonts w:hint="eastAsia"/>
          <w:sz w:val="20"/>
          <w:szCs w:val="20"/>
        </w:rPr>
        <w:t xml:space="preserve"> as follows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660"/>
        <w:gridCol w:w="1455"/>
        <w:gridCol w:w="4384"/>
        <w:gridCol w:w="1856"/>
      </w:tblGrid>
      <w:tr w:rsidR="00166EC4">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asciiTheme="majorHAnsi" w:hAnsiTheme="majorHAnsi" w:cstheme="majorHAnsi"/>
                <w:color w:val="000000" w:themeColor="text1"/>
                <w:sz w:val="15"/>
                <w:szCs w:val="15"/>
              </w:rPr>
            </w:pPr>
            <w:r>
              <w:rPr>
                <w:rFonts w:cs="Arial"/>
                <w:color w:val="000000" w:themeColor="text1"/>
                <w:sz w:val="15"/>
                <w:szCs w:val="15"/>
              </w:rPr>
              <w:lastRenderedPageBreak/>
              <w:t xml:space="preserve">40. </w:t>
            </w:r>
            <w:proofErr w:type="spellStart"/>
            <w:r>
              <w:rPr>
                <w:rFonts w:cs="Arial"/>
                <w:color w:val="000000" w:themeColor="text1"/>
                <w:sz w:val="15"/>
                <w:szCs w:val="15"/>
              </w:rPr>
              <w:t>NR_MIMO_evo_DL_UL</w:t>
            </w:r>
            <w:proofErr w:type="spellEnd"/>
          </w:p>
        </w:tc>
        <w:tc>
          <w:tcPr>
            <w:tcW w:w="660"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asciiTheme="majorHAnsi" w:eastAsia="MS Mincho" w:hAnsiTheme="majorHAnsi" w:cstheme="majorHAnsi"/>
                <w:color w:val="000000" w:themeColor="text1"/>
                <w:sz w:val="15"/>
                <w:szCs w:val="15"/>
              </w:rPr>
            </w:pPr>
            <w:r>
              <w:rPr>
                <w:rFonts w:eastAsia="MS Mincho" w:cs="Arial"/>
                <w:color w:val="000000" w:themeColor="text1"/>
                <w:sz w:val="15"/>
                <w:szCs w:val="15"/>
              </w:rPr>
              <w:t>40-6-1a</w:t>
            </w: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asciiTheme="majorHAnsi" w:hAnsiTheme="majorHAnsi" w:cstheme="majorHAnsi"/>
                <w:color w:val="000000" w:themeColor="text1"/>
                <w:sz w:val="15"/>
                <w:szCs w:val="15"/>
              </w:rPr>
            </w:pPr>
            <w:r>
              <w:rPr>
                <w:rFonts w:cs="Arial"/>
                <w:bCs/>
                <w:iCs/>
                <w:color w:val="000000" w:themeColor="text1"/>
                <w:sz w:val="15"/>
                <w:szCs w:val="15"/>
              </w:rPr>
              <w:t xml:space="preserve">Single-DCI based </w:t>
            </w:r>
            <w:r>
              <w:rPr>
                <w:rFonts w:cs="Arial"/>
                <w:color w:val="000000" w:themeColor="text1"/>
                <w:sz w:val="15"/>
                <w:szCs w:val="15"/>
              </w:rPr>
              <w:t>STx2P SDM scheme for PUSCH—</w:t>
            </w:r>
            <w:proofErr w:type="spellStart"/>
            <w:r>
              <w:rPr>
                <w:rFonts w:cs="Arial"/>
                <w:color w:val="000000" w:themeColor="text1"/>
                <w:sz w:val="15"/>
                <w:szCs w:val="15"/>
              </w:rPr>
              <w:t>noncodebook</w:t>
            </w:r>
            <w:proofErr w:type="spellEnd"/>
          </w:p>
        </w:tc>
        <w:tc>
          <w:tcPr>
            <w:tcW w:w="4384"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maintext"/>
              <w:spacing w:before="108" w:after="108"/>
              <w:ind w:firstLineChars="0" w:firstLine="0"/>
              <w:jc w:val="left"/>
              <w:rPr>
                <w:rFonts w:ascii="Arial" w:eastAsia="宋体" w:hAnsi="Arial" w:cs="Arial"/>
                <w:color w:val="000000" w:themeColor="text1"/>
                <w:sz w:val="15"/>
                <w:szCs w:val="15"/>
                <w:lang w:eastAsia="zh-CN"/>
              </w:rPr>
            </w:pPr>
            <w:r>
              <w:rPr>
                <w:rFonts w:ascii="Arial" w:eastAsia="宋体" w:hAnsi="Arial" w:cs="Arial"/>
                <w:color w:val="000000" w:themeColor="text1"/>
                <w:sz w:val="15"/>
                <w:szCs w:val="15"/>
                <w:lang w:eastAsia="zh-CN"/>
              </w:rPr>
              <w:t>1.</w:t>
            </w:r>
            <w:r>
              <w:rPr>
                <w:rFonts w:ascii="Arial" w:eastAsia="宋体" w:hAnsi="Arial" w:cs="Arial"/>
                <w:color w:val="000000" w:themeColor="text1"/>
                <w:sz w:val="15"/>
                <w:szCs w:val="15"/>
                <w:lang w:eastAsia="zh-CN"/>
              </w:rPr>
              <w:t xml:space="preserve"> Dynamic switching by DCI 0_1/0_2 between single-DCI STxMP SDM and sTRP for PUSCH—</w:t>
            </w:r>
            <w:proofErr w:type="spellStart"/>
            <w:r>
              <w:rPr>
                <w:rFonts w:ascii="Arial" w:eastAsia="宋体" w:hAnsi="Arial" w:cs="Arial"/>
                <w:color w:val="000000" w:themeColor="text1"/>
                <w:sz w:val="15"/>
                <w:szCs w:val="15"/>
                <w:lang w:eastAsia="zh-CN"/>
              </w:rPr>
              <w:t>noncodebook</w:t>
            </w:r>
            <w:proofErr w:type="spellEnd"/>
          </w:p>
          <w:p w:rsidR="00166EC4" w:rsidRDefault="00BC6A28">
            <w:pPr>
              <w:pStyle w:val="maintext"/>
              <w:spacing w:before="108" w:after="108"/>
              <w:ind w:firstLineChars="0" w:firstLine="0"/>
              <w:jc w:val="left"/>
              <w:rPr>
                <w:rFonts w:ascii="Arial" w:eastAsia="宋体" w:hAnsi="Arial" w:cs="Arial"/>
                <w:color w:val="000000" w:themeColor="text1"/>
                <w:sz w:val="15"/>
                <w:szCs w:val="15"/>
                <w:lang w:eastAsia="zh-CN"/>
              </w:rPr>
            </w:pPr>
            <w:r>
              <w:rPr>
                <w:rFonts w:ascii="Arial" w:eastAsia="宋体" w:hAnsi="Arial" w:cs="Arial"/>
                <w:color w:val="000000" w:themeColor="text1"/>
                <w:sz w:val="15"/>
                <w:szCs w:val="15"/>
                <w:lang w:eastAsia="zh-CN"/>
              </w:rPr>
              <w:t>2. 1 PTRS port for single-DCI based STx2P SDM scheme for PUSCH—</w:t>
            </w:r>
            <w:proofErr w:type="spellStart"/>
            <w:r>
              <w:rPr>
                <w:rFonts w:ascii="Arial" w:eastAsia="宋体" w:hAnsi="Arial" w:cs="Arial"/>
                <w:color w:val="000000" w:themeColor="text1"/>
                <w:sz w:val="15"/>
                <w:szCs w:val="15"/>
                <w:lang w:eastAsia="zh-CN"/>
              </w:rPr>
              <w:t>noncodebook</w:t>
            </w:r>
            <w:proofErr w:type="spellEnd"/>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3. Support of two SRS resource sets with usage set to '</w:t>
            </w:r>
            <w:proofErr w:type="spellStart"/>
            <w:r>
              <w:rPr>
                <w:rFonts w:ascii="Arial" w:hAnsi="Arial" w:cs="Arial"/>
                <w:color w:val="000000" w:themeColor="text1"/>
                <w:sz w:val="15"/>
                <w:szCs w:val="15"/>
              </w:rPr>
              <w:t>noncodebook</w:t>
            </w:r>
            <w:proofErr w:type="spellEnd"/>
            <w:r>
              <w:rPr>
                <w:rFonts w:ascii="Arial" w:hAnsi="Arial" w:cs="Arial"/>
                <w:color w:val="000000" w:themeColor="text1"/>
                <w:sz w:val="15"/>
                <w:szCs w:val="15"/>
              </w:rPr>
              <w:t>'</w:t>
            </w:r>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 xml:space="preserve">4.  Maximum number </w:t>
            </w:r>
            <w:r>
              <w:rPr>
                <w:rFonts w:ascii="Arial" w:hAnsi="Arial" w:cs="Arial"/>
                <w:color w:val="000000" w:themeColor="text1"/>
                <w:sz w:val="15"/>
                <w:szCs w:val="15"/>
              </w:rPr>
              <w:t>of SRS resources in one SRS resource set</w:t>
            </w:r>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 xml:space="preserve">5. Maximum number of layers of each panel for Single-DCI STx2P with SDM </w:t>
            </w:r>
          </w:p>
          <w:p w:rsidR="00166EC4" w:rsidRDefault="00BC6A28">
            <w:pPr>
              <w:spacing w:before="108" w:after="108"/>
              <w:jc w:val="left"/>
              <w:rPr>
                <w:rFonts w:cs="Arial"/>
                <w:color w:val="000000" w:themeColor="text1"/>
                <w:sz w:val="15"/>
                <w:szCs w:val="15"/>
              </w:rPr>
            </w:pPr>
            <w:r>
              <w:rPr>
                <w:rFonts w:cs="Arial"/>
                <w:color w:val="000000" w:themeColor="text1"/>
                <w:sz w:val="15"/>
                <w:szCs w:val="15"/>
              </w:rPr>
              <w:t xml:space="preserve">8. Maximum number of simultaneous transmitted SRS resources from one SRS resource set </w:t>
            </w:r>
            <w:r>
              <w:rPr>
                <w:rFonts w:cs="Arial"/>
                <w:strike/>
                <w:color w:val="FF0000"/>
                <w:sz w:val="15"/>
                <w:szCs w:val="15"/>
              </w:rPr>
              <w:t>at</w:t>
            </w:r>
            <w:r>
              <w:rPr>
                <w:rFonts w:cs="Arial"/>
                <w:color w:val="FF0000"/>
                <w:sz w:val="15"/>
                <w:szCs w:val="15"/>
              </w:rPr>
              <w:t xml:space="preserve"> in</w:t>
            </w:r>
            <w:r>
              <w:rPr>
                <w:rFonts w:cs="Arial"/>
                <w:color w:val="000000" w:themeColor="text1"/>
                <w:sz w:val="15"/>
                <w:szCs w:val="15"/>
              </w:rPr>
              <w:t xml:space="preserve"> one symbol</w:t>
            </w:r>
          </w:p>
          <w:p w:rsidR="00166EC4" w:rsidRDefault="00BC6A28">
            <w:pPr>
              <w:spacing w:before="108" w:after="108"/>
              <w:jc w:val="left"/>
              <w:rPr>
                <w:rFonts w:asciiTheme="majorHAnsi" w:hAnsiTheme="majorHAnsi" w:cstheme="majorHAnsi"/>
                <w:color w:val="000000" w:themeColor="text1"/>
                <w:sz w:val="15"/>
                <w:szCs w:val="15"/>
              </w:rPr>
            </w:pPr>
            <w:r>
              <w:rPr>
                <w:rFonts w:cstheme="majorHAnsi"/>
                <w:color w:val="FF0000"/>
                <w:sz w:val="15"/>
                <w:szCs w:val="15"/>
              </w:rPr>
              <w:t xml:space="preserve">9. Maximum number of simultaneous </w:t>
            </w:r>
            <w:r>
              <w:rPr>
                <w:rFonts w:cstheme="majorHAnsi"/>
                <w:color w:val="FF0000"/>
                <w:sz w:val="15"/>
                <w:szCs w:val="15"/>
              </w:rPr>
              <w:t>transmitted SRS resources from two SRS resource sets in one symbol</w:t>
            </w:r>
          </w:p>
        </w:tc>
        <w:tc>
          <w:tcPr>
            <w:tcW w:w="1856"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cs="Arial"/>
                <w:color w:val="000000" w:themeColor="text1"/>
                <w:sz w:val="15"/>
                <w:szCs w:val="15"/>
              </w:rPr>
            </w:pPr>
            <w:r>
              <w:rPr>
                <w:rFonts w:cs="Arial"/>
                <w:color w:val="000000" w:themeColor="text1"/>
                <w:sz w:val="15"/>
                <w:szCs w:val="15"/>
              </w:rPr>
              <w:t>Component 4 candidate values: {1, 2 ,3, 4}</w:t>
            </w:r>
          </w:p>
          <w:p w:rsidR="00166EC4" w:rsidRDefault="00166EC4">
            <w:pPr>
              <w:pStyle w:val="TAL"/>
              <w:spacing w:before="108" w:after="108"/>
              <w:rPr>
                <w:rFonts w:cs="Arial"/>
                <w:color w:val="000000" w:themeColor="text1"/>
                <w:sz w:val="15"/>
                <w:szCs w:val="15"/>
              </w:rPr>
            </w:pPr>
          </w:p>
          <w:p w:rsidR="00166EC4" w:rsidRDefault="00BC6A28">
            <w:pPr>
              <w:pStyle w:val="TAL"/>
              <w:spacing w:before="108" w:after="108"/>
              <w:rPr>
                <w:rFonts w:cs="Arial"/>
                <w:color w:val="000000" w:themeColor="text1"/>
                <w:sz w:val="15"/>
                <w:szCs w:val="15"/>
              </w:rPr>
            </w:pPr>
            <w:r>
              <w:rPr>
                <w:rFonts w:cs="Arial"/>
                <w:color w:val="000000" w:themeColor="text1"/>
                <w:sz w:val="15"/>
                <w:szCs w:val="15"/>
              </w:rPr>
              <w:t>Component 5 candidate values: {1, 2}</w:t>
            </w:r>
          </w:p>
          <w:p w:rsidR="00166EC4" w:rsidRDefault="00166EC4">
            <w:pPr>
              <w:pStyle w:val="TAL"/>
              <w:spacing w:before="108" w:after="108"/>
              <w:rPr>
                <w:rFonts w:cs="Arial"/>
                <w:color w:val="000000" w:themeColor="text1"/>
                <w:sz w:val="15"/>
                <w:szCs w:val="15"/>
              </w:rPr>
            </w:pPr>
          </w:p>
          <w:p w:rsidR="00166EC4" w:rsidRDefault="00BC6A28">
            <w:pPr>
              <w:pStyle w:val="TAL"/>
              <w:spacing w:before="108" w:after="108"/>
              <w:rPr>
                <w:rFonts w:cs="Arial"/>
                <w:color w:val="000000" w:themeColor="text1"/>
                <w:sz w:val="15"/>
                <w:szCs w:val="15"/>
              </w:rPr>
            </w:pPr>
            <w:r>
              <w:rPr>
                <w:rFonts w:cs="Arial"/>
                <w:color w:val="000000" w:themeColor="text1"/>
                <w:sz w:val="15"/>
                <w:szCs w:val="15"/>
              </w:rPr>
              <w:t>Component 8 candidate values: {1, 2, 3, 4}</w:t>
            </w:r>
          </w:p>
          <w:p w:rsidR="00166EC4" w:rsidRDefault="00166EC4">
            <w:pPr>
              <w:pStyle w:val="TAL"/>
              <w:spacing w:before="108" w:after="108"/>
              <w:rPr>
                <w:rFonts w:cs="Arial"/>
                <w:color w:val="000000" w:themeColor="text1"/>
                <w:sz w:val="15"/>
                <w:szCs w:val="15"/>
              </w:rPr>
            </w:pPr>
          </w:p>
          <w:p w:rsidR="00166EC4" w:rsidRDefault="00BC6A28">
            <w:pPr>
              <w:pStyle w:val="TAL"/>
              <w:spacing w:before="108" w:after="108"/>
              <w:rPr>
                <w:rFonts w:asciiTheme="majorHAnsi" w:hAnsiTheme="majorHAnsi" w:cstheme="majorHAnsi"/>
                <w:color w:val="000000" w:themeColor="text1"/>
                <w:sz w:val="15"/>
                <w:szCs w:val="15"/>
              </w:rPr>
            </w:pPr>
            <w:r>
              <w:rPr>
                <w:rFonts w:cs="Arial"/>
                <w:color w:val="FF0000"/>
                <w:sz w:val="15"/>
                <w:szCs w:val="15"/>
              </w:rPr>
              <w:t>Component 9 candidate values: {1, 2, 3, 4, 5, 6, 7, 8}</w:t>
            </w:r>
          </w:p>
        </w:tc>
      </w:tr>
      <w:tr w:rsidR="00166EC4">
        <w:trPr>
          <w:trHeight w:val="20"/>
        </w:trPr>
        <w:tc>
          <w:tcPr>
            <w:tcW w:w="1219"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asciiTheme="majorHAnsi" w:hAnsiTheme="majorHAnsi" w:cstheme="majorHAnsi"/>
                <w:color w:val="000000" w:themeColor="text1"/>
                <w:sz w:val="15"/>
                <w:szCs w:val="15"/>
              </w:rPr>
            </w:pPr>
            <w:r>
              <w:rPr>
                <w:rFonts w:cs="Arial"/>
                <w:color w:val="000000" w:themeColor="text1"/>
                <w:sz w:val="15"/>
                <w:szCs w:val="15"/>
              </w:rPr>
              <w:t xml:space="preserve">40. </w:t>
            </w:r>
            <w:proofErr w:type="spellStart"/>
            <w:r>
              <w:rPr>
                <w:rFonts w:cs="Arial"/>
                <w:color w:val="000000" w:themeColor="text1"/>
                <w:sz w:val="15"/>
                <w:szCs w:val="15"/>
              </w:rPr>
              <w:t>NR_MIMO_evo_DL_UL</w:t>
            </w:r>
            <w:proofErr w:type="spellEnd"/>
          </w:p>
        </w:tc>
        <w:tc>
          <w:tcPr>
            <w:tcW w:w="660"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asciiTheme="majorHAnsi" w:eastAsia="MS Mincho" w:hAnsiTheme="majorHAnsi" w:cstheme="majorHAnsi"/>
                <w:color w:val="000000" w:themeColor="text1"/>
                <w:sz w:val="15"/>
                <w:szCs w:val="15"/>
              </w:rPr>
            </w:pPr>
            <w:r>
              <w:rPr>
                <w:rFonts w:eastAsia="MS Mincho" w:cs="Arial"/>
                <w:color w:val="000000" w:themeColor="text1"/>
                <w:sz w:val="15"/>
                <w:szCs w:val="15"/>
              </w:rPr>
              <w:t>40-6-2a</w:t>
            </w: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asciiTheme="majorHAnsi" w:hAnsiTheme="majorHAnsi" w:cstheme="majorHAnsi"/>
                <w:color w:val="000000" w:themeColor="text1"/>
                <w:sz w:val="15"/>
                <w:szCs w:val="15"/>
              </w:rPr>
            </w:pPr>
            <w:r>
              <w:rPr>
                <w:rFonts w:cs="Arial"/>
                <w:bCs/>
                <w:iCs/>
                <w:color w:val="000000" w:themeColor="text1"/>
                <w:sz w:val="15"/>
                <w:szCs w:val="15"/>
              </w:rPr>
              <w:t xml:space="preserve">Single-DCI based </w:t>
            </w:r>
            <w:r>
              <w:rPr>
                <w:rFonts w:cs="Arial"/>
                <w:color w:val="000000" w:themeColor="text1"/>
                <w:sz w:val="15"/>
                <w:szCs w:val="15"/>
              </w:rPr>
              <w:t>STx2P SFN scheme for PUSCH—</w:t>
            </w:r>
            <w:proofErr w:type="spellStart"/>
            <w:r>
              <w:rPr>
                <w:rFonts w:cs="Arial"/>
                <w:color w:val="000000" w:themeColor="text1"/>
                <w:sz w:val="15"/>
                <w:szCs w:val="15"/>
              </w:rPr>
              <w:t>noncodebook</w:t>
            </w:r>
            <w:proofErr w:type="spellEnd"/>
          </w:p>
        </w:tc>
        <w:tc>
          <w:tcPr>
            <w:tcW w:w="4384"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spacing w:before="108" w:after="108"/>
              <w:jc w:val="left"/>
              <w:rPr>
                <w:rFonts w:cs="Arial"/>
                <w:bCs/>
                <w:iCs/>
                <w:color w:val="000000" w:themeColor="text1"/>
                <w:sz w:val="15"/>
                <w:szCs w:val="15"/>
              </w:rPr>
            </w:pPr>
            <w:r>
              <w:rPr>
                <w:rFonts w:cs="Arial"/>
                <w:bCs/>
                <w:iCs/>
                <w:color w:val="000000" w:themeColor="text1"/>
                <w:sz w:val="15"/>
                <w:szCs w:val="15"/>
              </w:rPr>
              <w:t>2.Dynamic switching by DCI 0_1/0_2 between single-DCI STxMP SFN and sTRP</w:t>
            </w:r>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3. 1 PTRS port for single-DCI based STx2P SFN scheme for PUSCH—</w:t>
            </w:r>
            <w:proofErr w:type="spellStart"/>
            <w:r>
              <w:rPr>
                <w:rFonts w:ascii="Arial" w:hAnsi="Arial" w:cs="Arial"/>
                <w:color w:val="000000" w:themeColor="text1"/>
                <w:sz w:val="15"/>
                <w:szCs w:val="15"/>
              </w:rPr>
              <w:t>noncodebook</w:t>
            </w:r>
            <w:proofErr w:type="spellEnd"/>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 xml:space="preserve">4. Support of two SRS </w:t>
            </w:r>
            <w:r>
              <w:rPr>
                <w:rFonts w:ascii="Arial" w:hAnsi="Arial" w:cs="Arial"/>
                <w:color w:val="000000" w:themeColor="text1"/>
                <w:sz w:val="15"/>
                <w:szCs w:val="15"/>
              </w:rPr>
              <w:t>resource sets with usage set to '</w:t>
            </w:r>
            <w:proofErr w:type="spellStart"/>
            <w:r>
              <w:rPr>
                <w:rFonts w:ascii="Arial" w:hAnsi="Arial" w:cs="Arial"/>
                <w:color w:val="000000" w:themeColor="text1"/>
                <w:sz w:val="15"/>
                <w:szCs w:val="15"/>
              </w:rPr>
              <w:t>noncodebook</w:t>
            </w:r>
            <w:proofErr w:type="spellEnd"/>
            <w:r>
              <w:rPr>
                <w:rFonts w:ascii="Arial" w:hAnsi="Arial" w:cs="Arial"/>
                <w:color w:val="000000" w:themeColor="text1"/>
                <w:sz w:val="15"/>
                <w:szCs w:val="15"/>
              </w:rPr>
              <w:t>'</w:t>
            </w:r>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5. Maximum number of SRS resources in one SRS resource set</w:t>
            </w:r>
          </w:p>
          <w:p w:rsidR="00166EC4" w:rsidRDefault="00BC6A28">
            <w:pPr>
              <w:pStyle w:val="maintext"/>
              <w:spacing w:before="108" w:after="108"/>
              <w:ind w:firstLineChars="0" w:firstLine="0"/>
              <w:jc w:val="left"/>
              <w:rPr>
                <w:rFonts w:ascii="Arial" w:hAnsi="Arial" w:cs="Arial"/>
                <w:color w:val="000000" w:themeColor="text1"/>
                <w:sz w:val="15"/>
                <w:szCs w:val="15"/>
              </w:rPr>
            </w:pPr>
            <w:r>
              <w:rPr>
                <w:rFonts w:ascii="Arial" w:hAnsi="Arial" w:cs="Arial"/>
                <w:color w:val="000000" w:themeColor="text1"/>
                <w:sz w:val="15"/>
                <w:szCs w:val="15"/>
              </w:rPr>
              <w:t>6. Maximum number of MIMO layers of each SRS resource set for NCB PUSCH with SFN scheme</w:t>
            </w:r>
          </w:p>
          <w:p w:rsidR="00166EC4" w:rsidRDefault="00BC6A28">
            <w:pPr>
              <w:spacing w:before="108" w:after="108"/>
              <w:jc w:val="left"/>
              <w:rPr>
                <w:rFonts w:cs="Arial"/>
                <w:color w:val="000000" w:themeColor="text1"/>
                <w:sz w:val="15"/>
                <w:szCs w:val="15"/>
              </w:rPr>
            </w:pPr>
            <w:r>
              <w:rPr>
                <w:rFonts w:cs="Arial"/>
                <w:color w:val="000000" w:themeColor="text1"/>
                <w:sz w:val="15"/>
                <w:szCs w:val="15"/>
              </w:rPr>
              <w:t xml:space="preserve">8. Maximum number of simultaneous transmitted SRS resources </w:t>
            </w:r>
            <w:r>
              <w:rPr>
                <w:rFonts w:cs="Arial"/>
                <w:color w:val="000000" w:themeColor="text1"/>
                <w:sz w:val="15"/>
                <w:szCs w:val="15"/>
              </w:rPr>
              <w:t>from one SRS resource set</w:t>
            </w:r>
            <w:r>
              <w:rPr>
                <w:rFonts w:cs="Arial"/>
                <w:color w:val="FF0000"/>
                <w:sz w:val="15"/>
                <w:szCs w:val="15"/>
              </w:rPr>
              <w:t xml:space="preserve"> </w:t>
            </w:r>
            <w:r>
              <w:rPr>
                <w:rFonts w:cs="Arial"/>
                <w:strike/>
                <w:color w:val="FF0000"/>
                <w:sz w:val="15"/>
                <w:szCs w:val="15"/>
              </w:rPr>
              <w:t>at</w:t>
            </w:r>
            <w:r>
              <w:rPr>
                <w:rFonts w:cs="Arial"/>
                <w:color w:val="FF0000"/>
                <w:sz w:val="15"/>
                <w:szCs w:val="15"/>
              </w:rPr>
              <w:t xml:space="preserve"> in</w:t>
            </w:r>
            <w:r>
              <w:rPr>
                <w:rFonts w:cs="Arial"/>
                <w:color w:val="000000" w:themeColor="text1"/>
                <w:sz w:val="15"/>
                <w:szCs w:val="15"/>
              </w:rPr>
              <w:t xml:space="preserve"> one symbol</w:t>
            </w:r>
          </w:p>
          <w:p w:rsidR="00166EC4" w:rsidRDefault="00BC6A28">
            <w:pPr>
              <w:spacing w:before="108" w:after="108"/>
              <w:jc w:val="left"/>
              <w:rPr>
                <w:rFonts w:asciiTheme="majorHAnsi" w:hAnsiTheme="majorHAnsi" w:cstheme="majorHAnsi"/>
                <w:color w:val="000000" w:themeColor="text1"/>
                <w:sz w:val="15"/>
                <w:szCs w:val="15"/>
              </w:rPr>
            </w:pPr>
            <w:r>
              <w:rPr>
                <w:rFonts w:cs="Arial"/>
                <w:color w:val="FF0000"/>
                <w:sz w:val="15"/>
                <w:szCs w:val="15"/>
              </w:rPr>
              <w:t>9. Maximum number of simultaneous transmitted SRS resources from two SRS resource sets in one symbol</w:t>
            </w:r>
          </w:p>
        </w:tc>
        <w:tc>
          <w:tcPr>
            <w:tcW w:w="1856" w:type="dxa"/>
            <w:tcBorders>
              <w:top w:val="single" w:sz="4" w:space="0" w:color="auto"/>
              <w:left w:val="single" w:sz="4" w:space="0" w:color="auto"/>
              <w:bottom w:val="single" w:sz="4" w:space="0" w:color="auto"/>
              <w:right w:val="single" w:sz="4" w:space="0" w:color="auto"/>
            </w:tcBorders>
            <w:shd w:val="clear" w:color="auto" w:fill="auto"/>
          </w:tcPr>
          <w:p w:rsidR="00166EC4" w:rsidRDefault="00BC6A28">
            <w:pPr>
              <w:pStyle w:val="TAL"/>
              <w:spacing w:before="108" w:after="108"/>
              <w:rPr>
                <w:rFonts w:cs="Arial"/>
                <w:color w:val="000000" w:themeColor="text1"/>
                <w:sz w:val="15"/>
                <w:szCs w:val="15"/>
              </w:rPr>
            </w:pPr>
            <w:r>
              <w:rPr>
                <w:rFonts w:cs="Arial"/>
                <w:color w:val="000000" w:themeColor="text1"/>
                <w:sz w:val="15"/>
                <w:szCs w:val="15"/>
              </w:rPr>
              <w:t>Component 5 candidate values: {1, 2 ,3, 4}</w:t>
            </w:r>
          </w:p>
          <w:p w:rsidR="00166EC4" w:rsidRDefault="00166EC4">
            <w:pPr>
              <w:pStyle w:val="TAL"/>
              <w:spacing w:before="108" w:after="108"/>
              <w:rPr>
                <w:rFonts w:cs="Arial"/>
                <w:color w:val="000000" w:themeColor="text1"/>
                <w:sz w:val="15"/>
                <w:szCs w:val="15"/>
              </w:rPr>
            </w:pPr>
          </w:p>
          <w:p w:rsidR="00166EC4" w:rsidRDefault="00BC6A28">
            <w:pPr>
              <w:pStyle w:val="TAL"/>
              <w:spacing w:before="108" w:after="108"/>
              <w:rPr>
                <w:rFonts w:cs="Arial"/>
                <w:color w:val="000000" w:themeColor="text1"/>
                <w:sz w:val="15"/>
                <w:szCs w:val="15"/>
              </w:rPr>
            </w:pPr>
            <w:r>
              <w:rPr>
                <w:rFonts w:cs="Arial"/>
                <w:color w:val="000000" w:themeColor="text1"/>
                <w:sz w:val="15"/>
                <w:szCs w:val="15"/>
              </w:rPr>
              <w:t>Component 6 candidate values: {1, 2}</w:t>
            </w:r>
          </w:p>
          <w:p w:rsidR="00166EC4" w:rsidRDefault="00166EC4">
            <w:pPr>
              <w:pStyle w:val="TAL"/>
              <w:spacing w:before="108" w:after="108"/>
              <w:rPr>
                <w:rFonts w:cs="Arial"/>
                <w:color w:val="000000" w:themeColor="text1"/>
                <w:sz w:val="15"/>
                <w:szCs w:val="15"/>
              </w:rPr>
            </w:pPr>
          </w:p>
          <w:p w:rsidR="00166EC4" w:rsidRDefault="00BC6A28">
            <w:pPr>
              <w:pStyle w:val="TAL"/>
              <w:spacing w:before="108" w:after="108"/>
              <w:rPr>
                <w:rFonts w:cs="Arial"/>
                <w:color w:val="000000" w:themeColor="text1"/>
                <w:sz w:val="15"/>
                <w:szCs w:val="15"/>
              </w:rPr>
            </w:pPr>
            <w:r>
              <w:rPr>
                <w:rFonts w:cs="Arial"/>
                <w:color w:val="000000" w:themeColor="text1"/>
                <w:sz w:val="15"/>
                <w:szCs w:val="15"/>
              </w:rPr>
              <w:t xml:space="preserve">Component 8 candidate values: </w:t>
            </w:r>
            <w:r>
              <w:rPr>
                <w:rFonts w:cs="Arial"/>
                <w:color w:val="000000" w:themeColor="text1"/>
                <w:sz w:val="15"/>
                <w:szCs w:val="15"/>
              </w:rPr>
              <w:t>{1, 2, 3, 4}</w:t>
            </w:r>
          </w:p>
          <w:p w:rsidR="00166EC4" w:rsidRDefault="00166EC4">
            <w:pPr>
              <w:pStyle w:val="TAL"/>
              <w:spacing w:before="108" w:after="108"/>
              <w:rPr>
                <w:rFonts w:cstheme="majorHAnsi"/>
                <w:color w:val="000000" w:themeColor="text1"/>
                <w:sz w:val="15"/>
                <w:szCs w:val="15"/>
              </w:rPr>
            </w:pPr>
          </w:p>
          <w:p w:rsidR="00166EC4" w:rsidRDefault="00BC6A28">
            <w:pPr>
              <w:pStyle w:val="TAL"/>
              <w:spacing w:before="108" w:after="108"/>
              <w:rPr>
                <w:rFonts w:asciiTheme="majorHAnsi" w:hAnsiTheme="majorHAnsi" w:cstheme="majorHAnsi"/>
                <w:color w:val="000000" w:themeColor="text1"/>
                <w:sz w:val="15"/>
                <w:szCs w:val="15"/>
              </w:rPr>
            </w:pPr>
            <w:r>
              <w:rPr>
                <w:rFonts w:cs="Arial"/>
                <w:color w:val="FF0000"/>
                <w:sz w:val="15"/>
                <w:szCs w:val="15"/>
              </w:rPr>
              <w:t>Component 9 candidate values: {1, 2, 3, 4, 5, 6, 7, 8}</w:t>
            </w:r>
          </w:p>
        </w:tc>
      </w:tr>
    </w:tbl>
    <w:p w:rsidR="00166EC4" w:rsidRDefault="00BC6A28">
      <w:pPr>
        <w:spacing w:beforeLines="50" w:before="180" w:afterLines="50" w:after="180"/>
        <w:rPr>
          <w:sz w:val="20"/>
          <w:szCs w:val="20"/>
        </w:rPr>
      </w:pPr>
      <w:r>
        <w:rPr>
          <w:rFonts w:hint="eastAsia"/>
          <w:sz w:val="20"/>
          <w:szCs w:val="20"/>
        </w:rPr>
        <w:t>As a result, it should be captured in TS 38.213 that</w:t>
      </w:r>
      <w:r>
        <w:rPr>
          <w:sz w:val="20"/>
          <w:szCs w:val="20"/>
        </w:rPr>
        <w:t>, for NCB PUSCH</w:t>
      </w:r>
      <w:r>
        <w:rPr>
          <w:rFonts w:hint="eastAsia"/>
          <w:sz w:val="20"/>
          <w:szCs w:val="20"/>
        </w:rPr>
        <w:t xml:space="preserve"> transmission</w:t>
      </w:r>
      <w:r>
        <w:rPr>
          <w:sz w:val="20"/>
          <w:szCs w:val="20"/>
        </w:rPr>
        <w:t xml:space="preserve"> in STxMP SDM/SFN scheme, </w:t>
      </w:r>
      <w:r>
        <w:rPr>
          <w:rFonts w:hint="eastAsia"/>
          <w:sz w:val="20"/>
          <w:szCs w:val="20"/>
        </w:rPr>
        <w:t xml:space="preserve">multiple SRS resources from two SRS resource sets can be simultaneous </w:t>
      </w:r>
      <w:r>
        <w:rPr>
          <w:sz w:val="20"/>
          <w:szCs w:val="20"/>
        </w:rPr>
        <w:t>transmitted in</w:t>
      </w:r>
      <w:r>
        <w:rPr>
          <w:rFonts w:hint="eastAsia"/>
          <w:sz w:val="20"/>
          <w:szCs w:val="20"/>
        </w:rPr>
        <w:t xml:space="preserve"> one symbol, which is subject to UE capability.</w:t>
      </w:r>
      <w:r>
        <w:rPr>
          <w:sz w:val="20"/>
          <w:szCs w:val="20"/>
        </w:rPr>
        <w:t xml:space="preserve"> </w:t>
      </w:r>
    </w:p>
    <w:p w:rsidR="00166EC4" w:rsidRDefault="00BC6A28">
      <w:pPr>
        <w:spacing w:before="108" w:after="108"/>
        <w:rPr>
          <w:i/>
          <w:sz w:val="20"/>
          <w:szCs w:val="20"/>
        </w:rPr>
      </w:pPr>
      <w:r>
        <w:rPr>
          <w:b/>
          <w:i/>
          <w:sz w:val="20"/>
          <w:szCs w:val="20"/>
        </w:rPr>
        <w:t>Proposal 1:</w:t>
      </w:r>
      <w:r>
        <w:rPr>
          <w:i/>
          <w:sz w:val="20"/>
          <w:szCs w:val="20"/>
        </w:rPr>
        <w:t xml:space="preserve"> Support to </w:t>
      </w:r>
      <w:r>
        <w:rPr>
          <w:rFonts w:cs="Times"/>
          <w:bCs/>
          <w:i/>
          <w:sz w:val="20"/>
          <w:szCs w:val="20"/>
        </w:rPr>
        <w:t xml:space="preserve">specify in TS 38.214 that </w:t>
      </w:r>
      <w:r>
        <w:rPr>
          <w:i/>
          <w:sz w:val="20"/>
          <w:szCs w:val="20"/>
        </w:rPr>
        <w:t xml:space="preserve">for NCB PUSCH in STxMP SDM/SFN scheme, </w:t>
      </w:r>
      <w:r>
        <w:rPr>
          <w:rFonts w:hint="eastAsia"/>
          <w:i/>
          <w:sz w:val="20"/>
          <w:szCs w:val="20"/>
        </w:rPr>
        <w:t xml:space="preserve">multiple SRS resources from two SRS resource sets can be simultaneous </w:t>
      </w:r>
      <w:r>
        <w:rPr>
          <w:i/>
          <w:sz w:val="20"/>
          <w:szCs w:val="20"/>
        </w:rPr>
        <w:t>transmitted in</w:t>
      </w:r>
      <w:r>
        <w:rPr>
          <w:rFonts w:hint="eastAsia"/>
          <w:i/>
          <w:sz w:val="20"/>
          <w:szCs w:val="20"/>
        </w:rPr>
        <w:t xml:space="preserve"> one symbol, which is</w:t>
      </w:r>
      <w:r>
        <w:rPr>
          <w:rFonts w:hint="eastAsia"/>
          <w:i/>
          <w:sz w:val="20"/>
          <w:szCs w:val="20"/>
        </w:rPr>
        <w:t xml:space="preserve"> subject to UE capability</w:t>
      </w:r>
      <w:r>
        <w:rPr>
          <w:i/>
          <w:sz w:val="20"/>
          <w:szCs w:val="20"/>
        </w:rPr>
        <w:t>.</w:t>
      </w:r>
    </w:p>
    <w:p w:rsidR="00166EC4" w:rsidRDefault="00BC6A28">
      <w:pPr>
        <w:spacing w:before="108" w:after="108"/>
        <w:rPr>
          <w:sz w:val="20"/>
          <w:szCs w:val="20"/>
        </w:rPr>
      </w:pPr>
      <w:r>
        <w:rPr>
          <w:sz w:val="20"/>
          <w:szCs w:val="20"/>
        </w:rPr>
        <w:t>Then, the corresponding draft CR can be found in our companion contribution [3].</w:t>
      </w:r>
    </w:p>
    <w:p w:rsidR="00166EC4" w:rsidRDefault="00BC6A28">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Conclusion</w:t>
      </w:r>
    </w:p>
    <w:p w:rsidR="00166EC4" w:rsidRDefault="00BC6A28">
      <w:pPr>
        <w:spacing w:before="108" w:after="108" w:line="276" w:lineRule="auto"/>
        <w:rPr>
          <w:sz w:val="20"/>
          <w:szCs w:val="20"/>
          <w:lang w:bidi="ar"/>
        </w:rPr>
      </w:pPr>
      <w:r>
        <w:rPr>
          <w:sz w:val="20"/>
          <w:szCs w:val="20"/>
          <w:lang w:bidi="ar"/>
        </w:rPr>
        <w:t xml:space="preserve">For the issue </w:t>
      </w:r>
      <w:r>
        <w:rPr>
          <w:rFonts w:hint="eastAsia"/>
          <w:sz w:val="20"/>
          <w:szCs w:val="20"/>
          <w:lang w:bidi="ar"/>
        </w:rPr>
        <w:t xml:space="preserve">of </w:t>
      </w:r>
      <w:r>
        <w:rPr>
          <w:rFonts w:hint="eastAsia"/>
          <w:sz w:val="20"/>
          <w:szCs w:val="20"/>
        </w:rPr>
        <w:t xml:space="preserve">simultaneous transmitted SRS resources in one symbol </w:t>
      </w:r>
      <w:r>
        <w:rPr>
          <w:sz w:val="20"/>
          <w:szCs w:val="20"/>
        </w:rPr>
        <w:t>for NCB PUSCH in S</w:t>
      </w:r>
      <w:r>
        <w:rPr>
          <w:rFonts w:hint="eastAsia"/>
          <w:sz w:val="20"/>
          <w:szCs w:val="20"/>
        </w:rPr>
        <w:t>Tx</w:t>
      </w:r>
      <w:r>
        <w:rPr>
          <w:sz w:val="20"/>
          <w:szCs w:val="20"/>
        </w:rPr>
        <w:t>MP SDM/SFN scheme</w:t>
      </w:r>
      <w:r>
        <w:rPr>
          <w:sz w:val="20"/>
          <w:szCs w:val="20"/>
          <w:lang w:bidi="ar"/>
        </w:rPr>
        <w:t xml:space="preserve">, we have </w:t>
      </w:r>
      <w:r>
        <w:rPr>
          <w:rFonts w:hint="eastAsia"/>
          <w:sz w:val="20"/>
          <w:szCs w:val="20"/>
          <w:lang w:bidi="ar"/>
        </w:rPr>
        <w:t xml:space="preserve">the </w:t>
      </w:r>
      <w:r>
        <w:rPr>
          <w:sz w:val="20"/>
          <w:szCs w:val="20"/>
          <w:lang w:bidi="ar"/>
        </w:rPr>
        <w:t xml:space="preserve">following </w:t>
      </w:r>
      <w:r>
        <w:rPr>
          <w:sz w:val="20"/>
          <w:szCs w:val="20"/>
          <w:lang w:bidi="ar"/>
        </w:rPr>
        <w:t>observation and proposal:</w:t>
      </w:r>
    </w:p>
    <w:p w:rsidR="00166EC4" w:rsidRDefault="00BC6A28">
      <w:pPr>
        <w:spacing w:before="108" w:after="108"/>
        <w:rPr>
          <w:i/>
          <w:sz w:val="20"/>
          <w:szCs w:val="20"/>
        </w:rPr>
      </w:pPr>
      <w:r>
        <w:rPr>
          <w:b/>
          <w:i/>
          <w:sz w:val="20"/>
          <w:szCs w:val="20"/>
        </w:rPr>
        <w:t>Proposal 1:</w:t>
      </w:r>
      <w:r>
        <w:rPr>
          <w:i/>
          <w:sz w:val="20"/>
          <w:szCs w:val="20"/>
        </w:rPr>
        <w:t xml:space="preserve"> Support to </w:t>
      </w:r>
      <w:r>
        <w:rPr>
          <w:rFonts w:cs="Times"/>
          <w:bCs/>
          <w:i/>
          <w:sz w:val="20"/>
          <w:szCs w:val="20"/>
        </w:rPr>
        <w:t xml:space="preserve">specify in TS 38.214 that </w:t>
      </w:r>
      <w:r>
        <w:rPr>
          <w:i/>
          <w:sz w:val="20"/>
          <w:szCs w:val="20"/>
        </w:rPr>
        <w:t xml:space="preserve">for NCB PUSCH in STxMP SDM/SFN scheme, </w:t>
      </w:r>
      <w:r>
        <w:rPr>
          <w:rFonts w:hint="eastAsia"/>
          <w:i/>
          <w:sz w:val="20"/>
          <w:szCs w:val="20"/>
        </w:rPr>
        <w:t xml:space="preserve">multiple SRS resources from two SRS resource sets can be simultaneous </w:t>
      </w:r>
      <w:r>
        <w:rPr>
          <w:i/>
          <w:sz w:val="20"/>
          <w:szCs w:val="20"/>
        </w:rPr>
        <w:t>transmitted in</w:t>
      </w:r>
      <w:r>
        <w:rPr>
          <w:rFonts w:hint="eastAsia"/>
          <w:i/>
          <w:sz w:val="20"/>
          <w:szCs w:val="20"/>
        </w:rPr>
        <w:t xml:space="preserve"> one symbol, which is subject to UE capability</w:t>
      </w:r>
      <w:r>
        <w:rPr>
          <w:i/>
          <w:sz w:val="20"/>
          <w:szCs w:val="20"/>
        </w:rPr>
        <w:t>.</w:t>
      </w:r>
    </w:p>
    <w:p w:rsidR="00166EC4" w:rsidRDefault="00BC6A28">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References</w:t>
      </w:r>
      <w:bookmarkStart w:id="11" w:name="_Ref446506608"/>
      <w:bookmarkStart w:id="12" w:name="_Ref446511358"/>
      <w:bookmarkStart w:id="13" w:name="_Ref446507216"/>
      <w:bookmarkEnd w:id="11"/>
      <w:bookmarkEnd w:id="12"/>
      <w:bookmarkEnd w:id="13"/>
    </w:p>
    <w:p w:rsidR="00166EC4" w:rsidRDefault="00BC6A28">
      <w:pPr>
        <w:pStyle w:val="References"/>
        <w:spacing w:beforeLines="0" w:before="0" w:afterLines="0" w:after="0"/>
        <w:ind w:left="363" w:hanging="363"/>
        <w:rPr>
          <w:bCs/>
          <w:sz w:val="20"/>
          <w:szCs w:val="20"/>
        </w:rPr>
      </w:pPr>
      <w:bookmarkStart w:id="14" w:name="OLE_LINK2"/>
      <w:bookmarkStart w:id="15" w:name="OLE_LINK1"/>
      <w:r>
        <w:rPr>
          <w:bCs/>
          <w:sz w:val="20"/>
          <w:szCs w:val="20"/>
        </w:rPr>
        <w:t>3GPP TS 38.</w:t>
      </w:r>
      <w:r>
        <w:rPr>
          <w:rFonts w:hint="eastAsia"/>
          <w:bCs/>
          <w:sz w:val="20"/>
          <w:szCs w:val="20"/>
        </w:rPr>
        <w:t>214</w:t>
      </w:r>
      <w:r>
        <w:rPr>
          <w:bCs/>
          <w:sz w:val="20"/>
          <w:szCs w:val="20"/>
        </w:rPr>
        <w:t xml:space="preserve">: "NR; </w:t>
      </w:r>
      <w:r>
        <w:rPr>
          <w:rFonts w:hint="eastAsia"/>
          <w:bCs/>
          <w:sz w:val="20"/>
          <w:szCs w:val="20"/>
        </w:rPr>
        <w:t>Physical layer procedure for data</w:t>
      </w:r>
      <w:r>
        <w:rPr>
          <w:bCs/>
          <w:sz w:val="20"/>
          <w:szCs w:val="20"/>
        </w:rPr>
        <w:t>"</w:t>
      </w:r>
    </w:p>
    <w:bookmarkEnd w:id="14"/>
    <w:bookmarkEnd w:id="15"/>
    <w:p w:rsidR="00166EC4" w:rsidRDefault="00BC6A28">
      <w:pPr>
        <w:pStyle w:val="References"/>
        <w:spacing w:beforeLines="0" w:before="0" w:afterLines="0" w:after="0"/>
        <w:ind w:left="363" w:hanging="363"/>
        <w:rPr>
          <w:iCs/>
          <w:sz w:val="20"/>
          <w:szCs w:val="20"/>
        </w:rPr>
      </w:pPr>
      <w:r>
        <w:rPr>
          <w:bCs/>
          <w:sz w:val="20"/>
          <w:szCs w:val="20"/>
        </w:rPr>
        <w:t>R1-240</w:t>
      </w:r>
      <w:r>
        <w:rPr>
          <w:rFonts w:hint="eastAsia"/>
          <w:bCs/>
          <w:sz w:val="20"/>
          <w:szCs w:val="20"/>
        </w:rPr>
        <w:t>5571</w:t>
      </w:r>
      <w:r>
        <w:rPr>
          <w:bCs/>
          <w:sz w:val="20"/>
          <w:szCs w:val="20"/>
        </w:rPr>
        <w:t xml:space="preserve">, </w:t>
      </w:r>
      <w:r>
        <w:rPr>
          <w:rFonts w:hint="eastAsia"/>
          <w:bCs/>
          <w:sz w:val="20"/>
          <w:szCs w:val="20"/>
        </w:rPr>
        <w:t>Session Notes of AI 8.2.2, Ad-Hoc Chair (AT&amp;T)</w:t>
      </w:r>
    </w:p>
    <w:p w:rsidR="00166EC4" w:rsidRDefault="00BC6A28">
      <w:pPr>
        <w:pStyle w:val="References"/>
        <w:spacing w:beforeLines="0" w:before="0" w:afterLines="0" w:after="0"/>
        <w:ind w:left="363" w:hanging="363"/>
        <w:rPr>
          <w:iCs/>
          <w:sz w:val="20"/>
          <w:szCs w:val="20"/>
        </w:rPr>
      </w:pPr>
      <w:r>
        <w:rPr>
          <w:iCs/>
          <w:sz w:val="20"/>
          <w:szCs w:val="20"/>
        </w:rPr>
        <w:lastRenderedPageBreak/>
        <w:t>R1-2406042</w:t>
      </w:r>
      <w:r>
        <w:rPr>
          <w:rFonts w:hint="eastAsia"/>
          <w:iCs/>
          <w:sz w:val="20"/>
          <w:szCs w:val="20"/>
        </w:rPr>
        <w:t>,</w:t>
      </w:r>
      <w:r>
        <w:rPr>
          <w:iCs/>
          <w:sz w:val="20"/>
          <w:szCs w:val="20"/>
        </w:rPr>
        <w:t xml:space="preserve"> Draft CR on SRS transmission for NCB PUSCH in STxMP SDM/SFN scheme in TS 38.214,</w:t>
      </w:r>
      <w:r>
        <w:rPr>
          <w:iCs/>
          <w:sz w:val="20"/>
          <w:szCs w:val="20"/>
        </w:rPr>
        <w:tab/>
        <w:t>ZTE Corporation, Sanechips</w:t>
      </w:r>
    </w:p>
    <w:sectPr w:rsidR="00166EC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A28" w:rsidRDefault="00BC6A28">
      <w:pPr>
        <w:spacing w:before="72" w:after="72" w:line="240" w:lineRule="auto"/>
      </w:pPr>
      <w:r>
        <w:separator/>
      </w:r>
    </w:p>
  </w:endnote>
  <w:endnote w:type="continuationSeparator" w:id="0">
    <w:p w:rsidR="00BC6A28" w:rsidRDefault="00BC6A28">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EC4" w:rsidRDefault="00166EC4">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EC4" w:rsidRDefault="00166EC4">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EC4" w:rsidRDefault="00166EC4">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A28" w:rsidRDefault="00BC6A28">
      <w:pPr>
        <w:spacing w:before="72" w:after="72"/>
      </w:pPr>
      <w:r>
        <w:separator/>
      </w:r>
    </w:p>
  </w:footnote>
  <w:footnote w:type="continuationSeparator" w:id="0">
    <w:p w:rsidR="00BC6A28" w:rsidRDefault="00BC6A28">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EC4" w:rsidRDefault="00166EC4">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EC4" w:rsidRDefault="00166EC4">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6EC4" w:rsidRDefault="00166EC4">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0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E7D"/>
    <w:rsid w:val="0011123E"/>
    <w:rsid w:val="00111251"/>
    <w:rsid w:val="0011189E"/>
    <w:rsid w:val="00111A07"/>
    <w:rsid w:val="00111CE9"/>
    <w:rsid w:val="00111FF2"/>
    <w:rsid w:val="001121E8"/>
    <w:rsid w:val="00112302"/>
    <w:rsid w:val="0011249E"/>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C4"/>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129"/>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ADA"/>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73"/>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058"/>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0F"/>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8A8"/>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3C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796"/>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D44"/>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607"/>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68D6"/>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2F9"/>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09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4FD5"/>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57A"/>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A9C"/>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B8E"/>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A28"/>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0FC"/>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46"/>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4FD"/>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5F0"/>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4B0"/>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759AF"/>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BE3BEC"/>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6F10BC"/>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8F19D1"/>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D5D4B"/>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83B54"/>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63D6A"/>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01B1"/>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B78F3"/>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3EFB"/>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3F30F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63E01"/>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024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0BDE"/>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5278E"/>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5C61"/>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D65ED"/>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524A5"/>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56DAE"/>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751EB"/>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77588"/>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0C6FFB-FE8E-49BB-B3F2-AD74A8E1E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djustRightInd w:val="0"/>
      <w:snapToGrid w:val="0"/>
      <w:spacing w:beforeLines="30" w:afterLines="30" w:line="288" w:lineRule="auto"/>
      <w:jc w:val="both"/>
    </w:pPr>
    <w:rPr>
      <w:rFonts w:eastAsia="宋体"/>
      <w:sz w:val="24"/>
      <w:szCs w:val="24"/>
    </w:rPr>
  </w:style>
  <w:style w:type="paragraph" w:styleId="1">
    <w:name w:val="heading 1"/>
    <w:basedOn w:val="a"/>
    <w:next w:val="a"/>
    <w:link w:val="10"/>
    <w:uiPriority w:val="99"/>
    <w:qFormat/>
    <w:pPr>
      <w:widowControl w:val="0"/>
      <w:numPr>
        <w:numId w:val="1"/>
      </w:numPr>
      <w:autoSpaceDE w:val="0"/>
      <w:autoSpaceDN w:val="0"/>
      <w:spacing w:beforeLines="50" w:before="50" w:line="360" w:lineRule="auto"/>
      <w:ind w:left="431" w:hanging="431"/>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spacing w:before="240" w:after="64" w:line="320" w:lineRule="auto"/>
      <w:outlineLvl w:val="5"/>
    </w:pPr>
    <w:rPr>
      <w:rFonts w:ascii="Cambria" w:hAnsi="Cambria" w:cs="黑体"/>
      <w:b/>
      <w:bCs/>
    </w:rPr>
  </w:style>
  <w:style w:type="paragraph" w:styleId="7">
    <w:name w:val="heading 7"/>
    <w:basedOn w:val="a"/>
    <w:next w:val="a"/>
    <w:link w:val="70"/>
    <w:uiPriority w:val="9"/>
    <w:qFormat/>
    <w:pPr>
      <w:keepNext/>
      <w:keepLines/>
      <w:numPr>
        <w:ilvl w:val="6"/>
        <w:numId w:val="1"/>
      </w:numPr>
      <w:tabs>
        <w:tab w:val="left" w:pos="432"/>
      </w:tabs>
      <w:spacing w:before="240" w:after="64" w:line="320" w:lineRule="auto"/>
      <w:outlineLvl w:val="6"/>
    </w:pPr>
    <w:rPr>
      <w:b/>
      <w:bCs/>
    </w:rPr>
  </w:style>
  <w:style w:type="paragraph" w:styleId="8">
    <w:name w:val="heading 8"/>
    <w:basedOn w:val="a"/>
    <w:next w:val="a"/>
    <w:link w:val="80"/>
    <w:uiPriority w:val="9"/>
    <w:qFormat/>
    <w:pPr>
      <w:keepNext/>
      <w:keepLines/>
      <w:numPr>
        <w:ilvl w:val="7"/>
        <w:numId w:val="1"/>
      </w:numPr>
      <w:tabs>
        <w:tab w:val="left" w:pos="432"/>
      </w:tabs>
      <w:spacing w:before="240" w:after="64" w:line="320" w:lineRule="auto"/>
      <w:outlineLvl w:val="7"/>
    </w:pPr>
    <w:rPr>
      <w:rFonts w:ascii="Cambria" w:hAnsi="Cambria" w:cs="黑体"/>
    </w:rPr>
  </w:style>
  <w:style w:type="paragraph" w:styleId="9">
    <w:name w:val="heading 9"/>
    <w:basedOn w:val="a"/>
    <w:next w:val="a"/>
    <w:link w:val="90"/>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spacing w:before="30" w:after="30" w:line="264" w:lineRule="auto"/>
      <w:ind w:leftChars="400" w:left="100" w:hangingChars="200" w:hanging="200"/>
      <w:contextualSpacing/>
    </w:pPr>
    <w:rPr>
      <w:szCs w:val="22"/>
    </w:rPr>
  </w:style>
  <w:style w:type="paragraph" w:styleId="a3">
    <w:name w:val="Normal Indent"/>
    <w:basedOn w:val="a"/>
    <w:qFormat/>
    <w:pPr>
      <w:widowControl w:val="0"/>
      <w:spacing w:before="30" w:after="30" w:line="264" w:lineRule="auto"/>
      <w:ind w:firstLine="420"/>
    </w:pPr>
    <w:rPr>
      <w:kern w:val="2"/>
      <w:sz w:val="21"/>
      <w:szCs w:val="20"/>
    </w:rPr>
  </w:style>
  <w:style w:type="paragraph" w:styleId="a4">
    <w:name w:val="caption"/>
    <w:basedOn w:val="a"/>
    <w:next w:val="a"/>
    <w:link w:val="a5"/>
    <w:qFormat/>
    <w:pPr>
      <w:tabs>
        <w:tab w:val="left" w:pos="1418"/>
      </w:tabs>
      <w:spacing w:before="120" w:after="120" w:line="264" w:lineRule="auto"/>
    </w:pPr>
    <w:rPr>
      <w:b/>
      <w:bCs/>
      <w:szCs w:val="20"/>
    </w:rPr>
  </w:style>
  <w:style w:type="paragraph" w:styleId="a6">
    <w:name w:val="Document Map"/>
    <w:basedOn w:val="a"/>
    <w:link w:val="a7"/>
    <w:unhideWhenUsed/>
    <w:qFormat/>
    <w:pPr>
      <w:spacing w:before="30" w:after="30" w:line="264" w:lineRule="auto"/>
    </w:pPr>
    <w:rPr>
      <w:rFonts w:ascii="宋体"/>
      <w:sz w:val="18"/>
      <w:szCs w:val="18"/>
    </w:rPr>
  </w:style>
  <w:style w:type="paragraph" w:styleId="a8">
    <w:name w:val="annotation text"/>
    <w:basedOn w:val="a"/>
    <w:link w:val="a9"/>
    <w:uiPriority w:val="99"/>
    <w:unhideWhenUsed/>
    <w:qFormat/>
    <w:pPr>
      <w:spacing w:before="30" w:after="30" w:line="264" w:lineRule="auto"/>
    </w:pPr>
    <w:rPr>
      <w:szCs w:val="20"/>
    </w:rPr>
  </w:style>
  <w:style w:type="paragraph" w:styleId="aa">
    <w:name w:val="Body Text"/>
    <w:basedOn w:val="a"/>
    <w:link w:val="ab"/>
    <w:qFormat/>
    <w:pPr>
      <w:widowControl w:val="0"/>
      <w:spacing w:before="30" w:after="30" w:line="264" w:lineRule="auto"/>
    </w:pPr>
    <w:rPr>
      <w:color w:val="000000"/>
      <w:kern w:val="2"/>
      <w:sz w:val="21"/>
      <w:szCs w:val="20"/>
    </w:rPr>
  </w:style>
  <w:style w:type="paragraph" w:styleId="ac">
    <w:name w:val="Body Text Indent"/>
    <w:basedOn w:val="a"/>
    <w:link w:val="ad"/>
    <w:uiPriority w:val="99"/>
    <w:unhideWhenUsed/>
    <w:qFormat/>
    <w:pPr>
      <w:spacing w:before="30" w:after="120" w:line="264" w:lineRule="auto"/>
      <w:ind w:left="360"/>
    </w:pPr>
    <w:rPr>
      <w:szCs w:val="22"/>
    </w:rPr>
  </w:style>
  <w:style w:type="paragraph" w:styleId="30">
    <w:name w:val="List Number 3"/>
    <w:basedOn w:val="a"/>
    <w:qFormat/>
    <w:pPr>
      <w:numPr>
        <w:numId w:val="3"/>
      </w:numPr>
      <w:overflowPunct w:val="0"/>
      <w:autoSpaceDE w:val="0"/>
      <w:autoSpaceDN w:val="0"/>
      <w:spacing w:after="180"/>
      <w:textAlignment w:val="baseline"/>
    </w:pPr>
    <w:rPr>
      <w:szCs w:val="20"/>
      <w:lang w:val="en-GB" w:eastAsia="en-US"/>
    </w:rPr>
  </w:style>
  <w:style w:type="paragraph" w:styleId="21">
    <w:name w:val="List 2"/>
    <w:basedOn w:val="ae"/>
    <w:uiPriority w:val="99"/>
    <w:unhideWhenUsed/>
    <w:qFormat/>
    <w:pPr>
      <w:ind w:left="851"/>
    </w:pPr>
  </w:style>
  <w:style w:type="paragraph" w:styleId="ae">
    <w:name w:val="List"/>
    <w:basedOn w:val="a"/>
    <w:uiPriority w:val="99"/>
    <w:unhideWhenUsed/>
    <w:qFormat/>
    <w:pPr>
      <w:spacing w:before="30" w:after="30" w:line="264" w:lineRule="auto"/>
      <w:ind w:left="568" w:hanging="284"/>
    </w:pPr>
    <w:rPr>
      <w:szCs w:val="22"/>
    </w:rPr>
  </w:style>
  <w:style w:type="paragraph" w:styleId="af">
    <w:name w:val="Plain Text"/>
    <w:basedOn w:val="a"/>
    <w:link w:val="af0"/>
    <w:uiPriority w:val="99"/>
    <w:unhideWhenUsed/>
    <w:qFormat/>
    <w:pPr>
      <w:spacing w:before="30" w:after="30" w:line="264" w:lineRule="auto"/>
    </w:pPr>
    <w:rPr>
      <w:rFonts w:eastAsia="Calibri"/>
      <w:szCs w:val="21"/>
      <w:lang w:eastAsia="en-US"/>
    </w:rPr>
  </w:style>
  <w:style w:type="paragraph" w:styleId="af1">
    <w:name w:val="Date"/>
    <w:basedOn w:val="a"/>
    <w:next w:val="a"/>
    <w:link w:val="af2"/>
    <w:uiPriority w:val="99"/>
    <w:unhideWhenUsed/>
    <w:qFormat/>
    <w:pPr>
      <w:spacing w:before="30" w:after="30" w:line="264" w:lineRule="auto"/>
      <w:ind w:leftChars="2500" w:left="100"/>
    </w:pPr>
    <w:rPr>
      <w:szCs w:val="22"/>
    </w:rPr>
  </w:style>
  <w:style w:type="paragraph" w:styleId="af3">
    <w:name w:val="Balloon Text"/>
    <w:basedOn w:val="a"/>
    <w:link w:val="af4"/>
    <w:uiPriority w:val="99"/>
    <w:unhideWhenUsed/>
    <w:qFormat/>
    <w:pPr>
      <w:spacing w:before="30" w:after="30" w:line="264"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pacing w:before="30" w:after="30" w:line="264" w:lineRule="auto"/>
    </w:pPr>
    <w:rPr>
      <w:sz w:val="18"/>
      <w:szCs w:val="18"/>
    </w:rPr>
  </w:style>
  <w:style w:type="paragraph" w:styleId="af7">
    <w:name w:val="header"/>
    <w:basedOn w:val="a"/>
    <w:link w:val="af8"/>
    <w:qFormat/>
    <w:pPr>
      <w:tabs>
        <w:tab w:val="center" w:pos="4536"/>
        <w:tab w:val="right" w:pos="9072"/>
      </w:tabs>
      <w:spacing w:before="30" w:after="30" w:line="264" w:lineRule="auto"/>
    </w:pPr>
    <w:rPr>
      <w:rFonts w:ascii="Arial" w:eastAsia="MS Mincho" w:hAnsi="Arial"/>
      <w:b/>
      <w:lang w:eastAsia="en-US"/>
    </w:rPr>
  </w:style>
  <w:style w:type="paragraph" w:styleId="af9">
    <w:name w:val="Normal (Web)"/>
    <w:basedOn w:val="a"/>
    <w:uiPriority w:val="99"/>
    <w:unhideWhenUsed/>
    <w:qFormat/>
    <w:pPr>
      <w:spacing w:before="30" w:after="30" w:line="264" w:lineRule="auto"/>
    </w:pPr>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line="264" w:lineRule="auto"/>
      <w:jc w:val="center"/>
    </w:pPr>
    <w:rPr>
      <w:rFonts w:ascii="Arial" w:hAnsi="Arial"/>
      <w:b/>
      <w:szCs w:val="20"/>
      <w:lang w:eastAsia="en-US"/>
    </w:rPr>
  </w:style>
  <w:style w:type="paragraph" w:customStyle="1" w:styleId="51">
    <w:name w:val="列出段落5"/>
    <w:basedOn w:val="a"/>
    <w:uiPriority w:val="99"/>
    <w:unhideWhenUsed/>
    <w:qFormat/>
    <w:pPr>
      <w:spacing w:before="30" w:after="30" w:line="264" w:lineRule="auto"/>
      <w:ind w:firstLineChars="200" w:firstLine="420"/>
    </w:pPr>
    <w:rPr>
      <w:szCs w:val="22"/>
    </w:rPr>
  </w:style>
  <w:style w:type="paragraph" w:customStyle="1" w:styleId="EQ">
    <w:name w:val="EQ"/>
    <w:basedOn w:val="a"/>
    <w:next w:val="a"/>
    <w:qFormat/>
    <w:pPr>
      <w:keepLines/>
      <w:tabs>
        <w:tab w:val="center" w:pos="4536"/>
        <w:tab w:val="right" w:pos="9072"/>
      </w:tabs>
      <w:overflowPunct w:val="0"/>
      <w:spacing w:before="30" w:line="264" w:lineRule="auto"/>
      <w:textAlignment w:val="baseline"/>
    </w:pPr>
    <w:rPr>
      <w:szCs w:val="22"/>
    </w:rPr>
  </w:style>
  <w:style w:type="paragraph" w:customStyle="1" w:styleId="aff1">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spacing w:before="30" w:after="30" w:line="264" w:lineRule="auto"/>
      <w:ind w:firstLineChars="200" w:firstLine="420"/>
    </w:pPr>
    <w:rPr>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pPr>
    <w:rPr>
      <w:rFonts w:ascii="Arial" w:hAnsi="Arial"/>
      <w:sz w:val="18"/>
      <w:szCs w:val="22"/>
    </w:rPr>
  </w:style>
  <w:style w:type="paragraph" w:customStyle="1" w:styleId="41">
    <w:name w:val="列出段落4"/>
    <w:basedOn w:val="a"/>
    <w:uiPriority w:val="99"/>
    <w:qFormat/>
    <w:pPr>
      <w:spacing w:before="30" w:after="30" w:line="264" w:lineRule="auto"/>
      <w:ind w:firstLineChars="200" w:firstLine="420"/>
    </w:pPr>
    <w:rPr>
      <w:szCs w:val="22"/>
    </w:rPr>
  </w:style>
  <w:style w:type="paragraph" w:customStyle="1" w:styleId="LGTdoc">
    <w:name w:val="LGTdoc_본문"/>
    <w:basedOn w:val="a"/>
    <w:qFormat/>
    <w:pPr>
      <w:widowControl w:val="0"/>
      <w:autoSpaceDE w:val="0"/>
      <w:autoSpaceDN w:val="0"/>
      <w:spacing w:before="30" w:after="30" w:line="264" w:lineRule="auto"/>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spacing w:before="30" w:after="30" w:line="264" w:lineRule="auto"/>
      <w:ind w:left="851" w:hanging="851"/>
    </w:pPr>
    <w:rPr>
      <w:rFonts w:ascii="Arial" w:hAnsi="Arial"/>
      <w:sz w:val="18"/>
      <w:szCs w:val="20"/>
      <w:lang w:eastAsia="en-US"/>
    </w:rPr>
  </w:style>
  <w:style w:type="paragraph" w:styleId="aff2">
    <w:name w:val="List Paragraph"/>
    <w:basedOn w:val="a"/>
    <w:link w:val="22"/>
    <w:uiPriority w:val="34"/>
    <w:qFormat/>
    <w:pPr>
      <w:spacing w:before="30" w:after="30" w:line="264" w:lineRule="auto"/>
      <w:ind w:leftChars="400" w:left="840"/>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720"/>
      <w:contextualSpacing/>
    </w:pPr>
    <w:rPr>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firstLineChars="200" w:firstLine="420"/>
    </w:pPr>
    <w:rPr>
      <w:szCs w:val="22"/>
    </w:rPr>
  </w:style>
  <w:style w:type="paragraph" w:customStyle="1" w:styleId="ListParagraph3">
    <w:name w:val="List Paragraph3"/>
    <w:basedOn w:val="a"/>
    <w:uiPriority w:val="99"/>
    <w:qFormat/>
    <w:pPr>
      <w:spacing w:before="30" w:after="30" w:line="264" w:lineRule="auto"/>
      <w:ind w:firstLineChars="200" w:firstLine="420"/>
    </w:pPr>
    <w:rPr>
      <w:szCs w:val="22"/>
    </w:rPr>
  </w:style>
  <w:style w:type="paragraph" w:customStyle="1" w:styleId="Doc-text2">
    <w:name w:val="Doc-text2"/>
    <w:basedOn w:val="a"/>
    <w:link w:val="Doc-text2Char"/>
    <w:qFormat/>
    <w:pPr>
      <w:tabs>
        <w:tab w:val="left" w:pos="1622"/>
      </w:tabs>
      <w:spacing w:before="30" w:after="30" w:line="264" w:lineRule="auto"/>
      <w:ind w:left="1622" w:hanging="363"/>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spacing w:before="30" w:after="30" w:line="264" w:lineRule="auto"/>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Chars="400" w:left="840"/>
    </w:pPr>
    <w:rPr>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spacing w:before="30" w:after="30" w:line="264" w:lineRule="auto"/>
      <w:ind w:firstLineChars="200" w:firstLine="420"/>
    </w:pPr>
    <w:rPr>
      <w:szCs w:val="22"/>
    </w:rPr>
  </w:style>
  <w:style w:type="paragraph" w:customStyle="1" w:styleId="Style1">
    <w:name w:val="_Style 1"/>
    <w:basedOn w:val="a"/>
    <w:uiPriority w:val="34"/>
    <w:qFormat/>
    <w:pPr>
      <w:spacing w:before="30" w:after="30" w:line="264" w:lineRule="auto"/>
      <w:ind w:leftChars="400" w:left="840"/>
    </w:pPr>
    <w:rPr>
      <w:szCs w:val="22"/>
    </w:rPr>
  </w:style>
  <w:style w:type="paragraph" w:customStyle="1" w:styleId="24">
    <w:name w:val="列出段落2"/>
    <w:basedOn w:val="a"/>
    <w:uiPriority w:val="99"/>
    <w:qFormat/>
    <w:pPr>
      <w:spacing w:before="30" w:after="30" w:line="264" w:lineRule="auto"/>
      <w:ind w:left="720"/>
      <w:contextualSpacing/>
    </w:pPr>
    <w:rPr>
      <w:szCs w:val="22"/>
    </w:rPr>
  </w:style>
  <w:style w:type="paragraph" w:customStyle="1" w:styleId="B1">
    <w:name w:val="B1"/>
    <w:basedOn w:val="ae"/>
    <w:qFormat/>
  </w:style>
  <w:style w:type="paragraph" w:customStyle="1" w:styleId="ListParagraph1">
    <w:name w:val="List Paragraph1"/>
    <w:basedOn w:val="a"/>
    <w:uiPriority w:val="99"/>
    <w:unhideWhenUsed/>
    <w:qFormat/>
    <w:pPr>
      <w:spacing w:before="30" w:after="30" w:line="264" w:lineRule="auto"/>
      <w:ind w:firstLineChars="200" w:firstLine="420"/>
    </w:pPr>
    <w:rPr>
      <w:szCs w:val="22"/>
    </w:rPr>
  </w:style>
  <w:style w:type="paragraph" w:customStyle="1" w:styleId="12">
    <w:name w:val="列出段落1"/>
    <w:basedOn w:val="a"/>
    <w:link w:val="Char"/>
    <w:uiPriority w:val="34"/>
    <w:qFormat/>
    <w:pPr>
      <w:widowControl w:val="0"/>
      <w:spacing w:before="30" w:after="30" w:line="264" w:lineRule="auto"/>
      <w:ind w:firstLineChars="200" w:firstLine="420"/>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spacing w:before="30" w:after="30" w:line="264" w:lineRule="auto"/>
      <w:ind w:firstLine="420"/>
    </w:pPr>
    <w:rPr>
      <w:rFonts w:ascii="MS PGothic" w:eastAsia="MS PGothic" w:hAnsi="MS PGothic" w:cs="宋体"/>
    </w:rPr>
  </w:style>
  <w:style w:type="paragraph" w:customStyle="1" w:styleId="aff3">
    <w:name w:val="表格文字居左"/>
    <w:basedOn w:val="a"/>
    <w:next w:val="a"/>
    <w:qFormat/>
    <w:pPr>
      <w:widowControl w:val="0"/>
      <w:spacing w:before="30" w:after="30" w:line="264" w:lineRule="auto"/>
    </w:pPr>
    <w:rPr>
      <w:rFonts w:ascii="Arial" w:hAnsi="Arial" w:cs="宋体"/>
      <w:kern w:val="2"/>
      <w:sz w:val="21"/>
      <w:szCs w:val="20"/>
    </w:rPr>
  </w:style>
  <w:style w:type="paragraph" w:customStyle="1" w:styleId="Style3">
    <w:name w:val="_Style 3"/>
    <w:basedOn w:val="a"/>
    <w:uiPriority w:val="34"/>
    <w:qFormat/>
    <w:pPr>
      <w:spacing w:before="30" w:after="30" w:line="264" w:lineRule="auto"/>
      <w:ind w:leftChars="400" w:left="840"/>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spacing w:before="30" w:after="30" w:line="264" w:lineRule="auto"/>
      <w:ind w:firstLineChars="200" w:firstLine="420"/>
    </w:pPr>
    <w:rPr>
      <w:szCs w:val="22"/>
    </w:rPr>
  </w:style>
  <w:style w:type="paragraph" w:customStyle="1" w:styleId="tablecell">
    <w:name w:val="tablecell"/>
    <w:basedOn w:val="a"/>
    <w:qFormat/>
    <w:pPr>
      <w:autoSpaceDE w:val="0"/>
      <w:autoSpaceDN w:val="0"/>
      <w:spacing w:before="40" w:after="40" w:line="264" w:lineRule="auto"/>
    </w:pPr>
    <w:rPr>
      <w:szCs w:val="22"/>
      <w:lang w:eastAsia="en-US"/>
    </w:rPr>
  </w:style>
  <w:style w:type="paragraph" w:customStyle="1" w:styleId="tableheader">
    <w:name w:val="tableheader"/>
    <w:basedOn w:val="a"/>
    <w:qFormat/>
    <w:pPr>
      <w:spacing w:before="40" w:after="40" w:line="264" w:lineRule="auto"/>
      <w:jc w:val="center"/>
    </w:pPr>
    <w:rPr>
      <w:rFonts w:cs="Calibri"/>
      <w:b/>
      <w:bCs/>
      <w:color w:val="000000"/>
      <w:szCs w:val="22"/>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line="264" w:lineRule="auto"/>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4"/>
      </w:numPr>
      <w:spacing w:before="30" w:after="30" w:line="264" w:lineRule="auto"/>
    </w:pPr>
    <w:rPr>
      <w:szCs w:val="22"/>
    </w:rPr>
  </w:style>
  <w:style w:type="paragraph" w:customStyle="1" w:styleId="ListParagraph2">
    <w:name w:val="List Paragraph2"/>
    <w:basedOn w:val="a"/>
    <w:uiPriority w:val="99"/>
    <w:qFormat/>
    <w:pPr>
      <w:spacing w:before="30" w:after="30" w:line="264" w:lineRule="auto"/>
      <w:ind w:firstLineChars="200" w:firstLine="420"/>
    </w:pPr>
    <w:rPr>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spacing w:before="30" w:after="30" w:line="264" w:lineRule="auto"/>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before="30" w:after="100" w:afterAutospacing="1" w:line="300" w:lineRule="auto"/>
      <w:ind w:firstLine="360"/>
      <w:contextualSpacing/>
    </w:pPr>
    <w:rPr>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spacing w:before="30" w:after="60" w:line="264" w:lineRule="auto"/>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spacing w:after="100" w:afterAutospacing="1" w:line="264" w:lineRule="auto"/>
    </w:pPr>
    <w:rPr>
      <w:szCs w:val="22"/>
      <w:lang w:val="sv-SE"/>
    </w:rPr>
  </w:style>
  <w:style w:type="paragraph" w:customStyle="1" w:styleId="tal0">
    <w:name w:val="tal"/>
    <w:basedOn w:val="a"/>
    <w:qFormat/>
    <w:pPr>
      <w:keepNext/>
      <w:spacing w:before="30"/>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spacing w:line="264" w:lineRule="auto"/>
      <w:ind w:leftChars="400" w:left="840"/>
    </w:pPr>
    <w:rPr>
      <w:rFonts w:ascii="Times" w:eastAsia="Batang" w:hAnsi="Times"/>
    </w:rPr>
  </w:style>
  <w:style w:type="paragraph" w:customStyle="1" w:styleId="110">
    <w:name w:val="列表段落11"/>
    <w:basedOn w:val="a"/>
    <w:qFormat/>
    <w:pPr>
      <w:spacing w:line="264" w:lineRule="auto"/>
      <w:ind w:leftChars="400" w:left="840"/>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spacing w:after="100" w:afterAutospacing="1"/>
      <w:ind w:left="800"/>
    </w:pPr>
    <w:rPr>
      <w:rFonts w:eastAsia="Malgun Gothic"/>
      <w:kern w:val="2"/>
      <w:sz w:val="21"/>
      <w:szCs w:val="21"/>
    </w:rPr>
  </w:style>
  <w:style w:type="paragraph" w:customStyle="1" w:styleId="25">
    <w:name w:val="列表段落2"/>
    <w:basedOn w:val="a"/>
    <w:qFormat/>
    <w:pPr>
      <w:ind w:firstLineChars="200" w:firstLine="420"/>
    </w:p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1115</Words>
  <Characters>6356</Characters>
  <Application>Microsoft Office Word</Application>
  <DocSecurity>0</DocSecurity>
  <Lines>52</Lines>
  <Paragraphs>14</Paragraphs>
  <ScaleCrop>false</ScaleCrop>
  <Company>ZTE</Company>
  <LinksUpToDate>false</LinksUpToDate>
  <CharactersWithSpaces>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4</cp:revision>
  <dcterms:created xsi:type="dcterms:W3CDTF">2024-05-10T09:00:00Z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8FBFEEF015D74516A26050FD9CC6AA4A</vt:lpwstr>
  </property>
</Properties>
</file>